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C49" w:rsidRDefault="0017398A">
      <w:pPr>
        <w:pStyle w:val="TOCHeading"/>
        <w:rPr>
          <w:rFonts w:ascii="Arial" w:hAnsi="Arial" w:cs="Arial"/>
          <w:b/>
          <w:color w:val="auto"/>
        </w:rPr>
      </w:pPr>
      <w:r>
        <w:rPr>
          <w:rFonts w:ascii="Arial" w:hAnsi="Arial" w:cs="Arial"/>
          <w:b/>
          <w:color w:val="auto"/>
        </w:rPr>
        <w:t>Appendices</w:t>
      </w:r>
    </w:p>
    <w:p w:rsidR="00AA6C49" w:rsidRDefault="00AA6C49">
      <w:pPr>
        <w:pStyle w:val="TOCHeading"/>
        <w:rPr>
          <w:rFonts w:ascii="Arial" w:hAnsi="Arial" w:cs="Arial"/>
          <w:b/>
          <w:color w:val="auto"/>
        </w:rPr>
      </w:pPr>
    </w:p>
    <w:p w:rsidR="00AA6C49" w:rsidRPr="00CC3AFE" w:rsidRDefault="00AA6C49">
      <w:pPr>
        <w:pStyle w:val="TOCHeading"/>
        <w:rPr>
          <w:rFonts w:ascii="Arial" w:hAnsi="Arial" w:cs="Arial"/>
          <w:b/>
          <w:color w:val="0070C0"/>
        </w:rPr>
      </w:pPr>
      <w:r w:rsidRPr="00CC3AFE">
        <w:rPr>
          <w:rFonts w:ascii="Arial" w:hAnsi="Arial" w:cs="Arial"/>
          <w:b/>
          <w:color w:val="0070C0"/>
        </w:rPr>
        <w:t>Table of Contents</w:t>
      </w:r>
    </w:p>
    <w:p w:rsidR="00CB5896" w:rsidRPr="00CB5896" w:rsidRDefault="00CB5896" w:rsidP="00CB5896">
      <w:pPr>
        <w:pStyle w:val="TOC1"/>
        <w:tabs>
          <w:tab w:val="right" w:leader="dot" w:pos="9015"/>
        </w:tabs>
        <w:rPr>
          <w:rStyle w:val="Hyperlink"/>
          <w:rFonts w:ascii="Calibri" w:hAnsi="Calibri"/>
          <w:noProof/>
          <w:color w:val="auto"/>
          <w:sz w:val="22"/>
          <w:szCs w:val="22"/>
          <w:u w:val="none"/>
        </w:rPr>
      </w:pPr>
      <w:r w:rsidRPr="00CB5896">
        <w:rPr>
          <w:rFonts w:ascii="Calibri" w:hAnsi="Calibri" w:cs="Arial"/>
          <w:sz w:val="22"/>
          <w:szCs w:val="22"/>
        </w:rPr>
        <w:t>Appendix 1:</w:t>
      </w:r>
      <w:r w:rsidRPr="00CB5896">
        <w:rPr>
          <w:rStyle w:val="Hyperlink"/>
          <w:rFonts w:ascii="Calibri" w:hAnsi="Calibri"/>
          <w:noProof/>
          <w:color w:val="auto"/>
          <w:sz w:val="22"/>
          <w:szCs w:val="22"/>
          <w:u w:val="none"/>
        </w:rPr>
        <w:t xml:space="preserve"> </w:t>
      </w:r>
      <w:r w:rsidR="00C37617" w:rsidRPr="00CB5896">
        <w:rPr>
          <w:rStyle w:val="Hyperlink"/>
          <w:rFonts w:ascii="Calibri" w:hAnsi="Calibri"/>
          <w:noProof/>
          <w:color w:val="auto"/>
          <w:sz w:val="22"/>
          <w:szCs w:val="22"/>
          <w:u w:val="none"/>
        </w:rPr>
        <w:t>Site locations by country</w:t>
      </w:r>
      <w:r w:rsidRPr="00CB5896">
        <w:rPr>
          <w:rFonts w:ascii="Calibri" w:hAnsi="Calibri"/>
          <w:noProof/>
          <w:webHidden/>
          <w:sz w:val="22"/>
          <w:szCs w:val="22"/>
        </w:rPr>
        <w:tab/>
        <w:t>2</w:t>
      </w:r>
    </w:p>
    <w:p w:rsidR="00CB5896" w:rsidRPr="00CB5896" w:rsidRDefault="00CB5896" w:rsidP="00CB5896">
      <w:pPr>
        <w:pStyle w:val="TOC1"/>
        <w:tabs>
          <w:tab w:val="right" w:leader="dot" w:pos="9015"/>
        </w:tabs>
        <w:rPr>
          <w:rFonts w:ascii="Calibri" w:hAnsi="Calibri"/>
        </w:rPr>
      </w:pPr>
      <w:r w:rsidRPr="00CB5896">
        <w:rPr>
          <w:rStyle w:val="Hyperlink"/>
          <w:rFonts w:ascii="Calibri" w:hAnsi="Calibri"/>
          <w:noProof/>
          <w:color w:val="auto"/>
          <w:sz w:val="22"/>
          <w:szCs w:val="22"/>
          <w:u w:val="none"/>
        </w:rPr>
        <w:t>Appendix 2:</w:t>
      </w:r>
      <w:r w:rsidR="00C37617">
        <w:rPr>
          <w:rStyle w:val="Hyperlink"/>
          <w:rFonts w:ascii="Calibri" w:hAnsi="Calibri"/>
          <w:noProof/>
          <w:color w:val="auto"/>
          <w:sz w:val="22"/>
          <w:szCs w:val="22"/>
          <w:u w:val="none"/>
        </w:rPr>
        <w:t xml:space="preserve"> </w:t>
      </w:r>
      <w:r w:rsidR="00C37617" w:rsidRPr="00CB5896">
        <w:rPr>
          <w:rStyle w:val="Hyperlink"/>
          <w:rFonts w:ascii="Calibri" w:hAnsi="Calibri"/>
          <w:noProof/>
          <w:color w:val="auto"/>
          <w:sz w:val="22"/>
          <w:szCs w:val="22"/>
          <w:u w:val="none"/>
        </w:rPr>
        <w:t>TANDEM TB diagnosis algorithm</w:t>
      </w:r>
      <w:r w:rsidRPr="00CB5896">
        <w:rPr>
          <w:rFonts w:ascii="Calibri" w:hAnsi="Calibri"/>
          <w:noProof/>
          <w:webHidden/>
          <w:sz w:val="22"/>
          <w:szCs w:val="22"/>
        </w:rPr>
        <w:tab/>
      </w:r>
      <w:r w:rsidR="0017398A">
        <w:rPr>
          <w:rFonts w:ascii="Calibri" w:hAnsi="Calibri"/>
          <w:noProof/>
          <w:webHidden/>
          <w:sz w:val="22"/>
          <w:szCs w:val="22"/>
        </w:rPr>
        <w:t>10</w:t>
      </w:r>
    </w:p>
    <w:p w:rsidR="00CB5896" w:rsidRDefault="00CB5896" w:rsidP="00CB5896">
      <w:pPr>
        <w:pStyle w:val="TOC1"/>
        <w:tabs>
          <w:tab w:val="right" w:leader="dot" w:pos="9015"/>
        </w:tabs>
        <w:rPr>
          <w:rFonts w:ascii="Calibri" w:hAnsi="Calibri"/>
          <w:noProof/>
          <w:webHidden/>
          <w:sz w:val="22"/>
          <w:szCs w:val="22"/>
        </w:rPr>
      </w:pPr>
      <w:r w:rsidRPr="00CB5896">
        <w:rPr>
          <w:rStyle w:val="Hyperlink"/>
          <w:rFonts w:ascii="Calibri" w:hAnsi="Calibri"/>
          <w:noProof/>
          <w:color w:val="auto"/>
          <w:sz w:val="22"/>
          <w:szCs w:val="22"/>
          <w:u w:val="none"/>
        </w:rPr>
        <w:t>Appendix 3: Description of published DM risk scores</w:t>
      </w:r>
      <w:r w:rsidRPr="00CB5896">
        <w:rPr>
          <w:rFonts w:ascii="Calibri" w:hAnsi="Calibri"/>
          <w:noProof/>
          <w:webHidden/>
          <w:sz w:val="22"/>
          <w:szCs w:val="22"/>
        </w:rPr>
        <w:tab/>
      </w:r>
      <w:r w:rsidR="00FA2B13">
        <w:rPr>
          <w:rFonts w:ascii="Calibri" w:hAnsi="Calibri"/>
          <w:noProof/>
          <w:webHidden/>
          <w:sz w:val="22"/>
          <w:szCs w:val="22"/>
        </w:rPr>
        <w:t>1</w:t>
      </w:r>
      <w:r w:rsidR="00F87567">
        <w:rPr>
          <w:rFonts w:ascii="Calibri" w:hAnsi="Calibri"/>
          <w:noProof/>
          <w:webHidden/>
          <w:sz w:val="22"/>
          <w:szCs w:val="22"/>
        </w:rPr>
        <w:t>1</w:t>
      </w:r>
    </w:p>
    <w:p w:rsidR="0017398A" w:rsidRDefault="0017398A" w:rsidP="0017398A">
      <w:pPr>
        <w:pStyle w:val="TOC1"/>
        <w:tabs>
          <w:tab w:val="right" w:leader="dot" w:pos="9015"/>
        </w:tabs>
        <w:rPr>
          <w:rFonts w:ascii="Calibri" w:hAnsi="Calibri"/>
          <w:noProof/>
          <w:webHidden/>
          <w:sz w:val="22"/>
          <w:szCs w:val="22"/>
        </w:rPr>
      </w:pPr>
      <w:r>
        <w:rPr>
          <w:rStyle w:val="Hyperlink"/>
          <w:rFonts w:ascii="Calibri" w:hAnsi="Calibri"/>
          <w:noProof/>
          <w:color w:val="auto"/>
          <w:sz w:val="22"/>
          <w:szCs w:val="22"/>
          <w:u w:val="none"/>
        </w:rPr>
        <w:t>Appendix 4</w:t>
      </w:r>
      <w:r w:rsidRPr="00CB5896">
        <w:rPr>
          <w:rStyle w:val="Hyperlink"/>
          <w:rFonts w:ascii="Calibri" w:hAnsi="Calibri"/>
          <w:noProof/>
          <w:color w:val="auto"/>
          <w:sz w:val="22"/>
          <w:szCs w:val="22"/>
          <w:u w:val="none"/>
        </w:rPr>
        <w:t xml:space="preserve">: </w:t>
      </w:r>
      <w:r>
        <w:rPr>
          <w:rStyle w:val="Hyperlink"/>
          <w:rFonts w:ascii="Calibri" w:hAnsi="Calibri"/>
          <w:noProof/>
          <w:color w:val="auto"/>
          <w:sz w:val="22"/>
          <w:szCs w:val="22"/>
          <w:u w:val="none"/>
        </w:rPr>
        <w:t>Sample size calculations</w:t>
      </w:r>
      <w:r w:rsidRPr="00CB5896">
        <w:rPr>
          <w:rFonts w:ascii="Calibri" w:hAnsi="Calibri"/>
          <w:noProof/>
          <w:webHidden/>
          <w:sz w:val="22"/>
          <w:szCs w:val="22"/>
        </w:rPr>
        <w:tab/>
      </w:r>
      <w:r>
        <w:rPr>
          <w:rFonts w:ascii="Calibri" w:hAnsi="Calibri"/>
          <w:noProof/>
          <w:webHidden/>
          <w:sz w:val="22"/>
          <w:szCs w:val="22"/>
        </w:rPr>
        <w:t>12</w:t>
      </w:r>
    </w:p>
    <w:p w:rsidR="00CB5896" w:rsidRPr="00CB5896" w:rsidRDefault="00C37617" w:rsidP="00CB5896">
      <w:pPr>
        <w:pStyle w:val="TOC1"/>
        <w:tabs>
          <w:tab w:val="right" w:leader="dot" w:pos="9015"/>
        </w:tabs>
        <w:rPr>
          <w:rStyle w:val="Hyperlink"/>
          <w:rFonts w:ascii="Calibri" w:hAnsi="Calibri"/>
          <w:noProof/>
          <w:color w:val="auto"/>
          <w:sz w:val="22"/>
          <w:szCs w:val="22"/>
          <w:u w:val="none"/>
        </w:rPr>
      </w:pPr>
      <w:r>
        <w:rPr>
          <w:rStyle w:val="Hyperlink"/>
          <w:rFonts w:ascii="Calibri" w:hAnsi="Calibri"/>
          <w:noProof/>
          <w:color w:val="auto"/>
          <w:sz w:val="22"/>
          <w:szCs w:val="22"/>
          <w:u w:val="none"/>
        </w:rPr>
        <w:t>Appendix 5</w:t>
      </w:r>
      <w:r w:rsidR="00CB5896" w:rsidRPr="00CB5896">
        <w:rPr>
          <w:rStyle w:val="Hyperlink"/>
          <w:rFonts w:ascii="Calibri" w:hAnsi="Calibri"/>
          <w:noProof/>
          <w:color w:val="auto"/>
          <w:sz w:val="22"/>
          <w:szCs w:val="22"/>
          <w:u w:val="none"/>
        </w:rPr>
        <w:t>: Univariate DM probability curves</w:t>
      </w:r>
      <w:r w:rsidR="00CB5896" w:rsidRPr="00CB5896">
        <w:rPr>
          <w:rFonts w:ascii="Calibri" w:hAnsi="Calibri"/>
          <w:noProof/>
          <w:webHidden/>
          <w:sz w:val="22"/>
          <w:szCs w:val="22"/>
        </w:rPr>
        <w:tab/>
      </w:r>
      <w:r w:rsidR="00FA2B13">
        <w:rPr>
          <w:rFonts w:ascii="Calibri" w:hAnsi="Calibri"/>
          <w:noProof/>
          <w:webHidden/>
          <w:sz w:val="22"/>
          <w:szCs w:val="22"/>
        </w:rPr>
        <w:t>1</w:t>
      </w:r>
      <w:r w:rsidR="0017398A">
        <w:rPr>
          <w:rFonts w:ascii="Calibri" w:hAnsi="Calibri"/>
          <w:noProof/>
          <w:webHidden/>
          <w:sz w:val="22"/>
          <w:szCs w:val="22"/>
        </w:rPr>
        <w:t>3</w:t>
      </w:r>
    </w:p>
    <w:p w:rsidR="00CB5896" w:rsidRDefault="00C37617" w:rsidP="00CB5896">
      <w:pPr>
        <w:pStyle w:val="TOC1"/>
        <w:tabs>
          <w:tab w:val="right" w:leader="dot" w:pos="9015"/>
        </w:tabs>
        <w:rPr>
          <w:rFonts w:ascii="Calibri" w:hAnsi="Calibri"/>
          <w:noProof/>
          <w:webHidden/>
          <w:sz w:val="22"/>
          <w:szCs w:val="22"/>
        </w:rPr>
      </w:pPr>
      <w:r>
        <w:rPr>
          <w:rStyle w:val="Hyperlink"/>
          <w:rFonts w:ascii="Calibri" w:hAnsi="Calibri"/>
          <w:noProof/>
          <w:color w:val="auto"/>
          <w:sz w:val="22"/>
          <w:szCs w:val="22"/>
          <w:u w:val="none"/>
        </w:rPr>
        <w:t>Appendix 6</w:t>
      </w:r>
      <w:r w:rsidR="00CB5896" w:rsidRPr="00CB5896">
        <w:rPr>
          <w:rStyle w:val="Hyperlink"/>
          <w:rFonts w:ascii="Calibri" w:hAnsi="Calibri"/>
          <w:noProof/>
          <w:color w:val="auto"/>
          <w:sz w:val="22"/>
          <w:szCs w:val="22"/>
          <w:u w:val="none"/>
        </w:rPr>
        <w:t xml:space="preserve">: DM diagnostics </w:t>
      </w:r>
      <w:r w:rsidR="00F87567">
        <w:rPr>
          <w:rStyle w:val="Hyperlink"/>
          <w:rFonts w:ascii="Calibri" w:hAnsi="Calibri"/>
          <w:noProof/>
          <w:color w:val="auto"/>
          <w:sz w:val="22"/>
          <w:szCs w:val="22"/>
          <w:u w:val="none"/>
        </w:rPr>
        <w:t>–</w:t>
      </w:r>
      <w:r w:rsidR="00CB5896" w:rsidRPr="00CB5896">
        <w:rPr>
          <w:rStyle w:val="Hyperlink"/>
          <w:rFonts w:ascii="Calibri" w:hAnsi="Calibri"/>
          <w:noProof/>
          <w:color w:val="auto"/>
          <w:sz w:val="22"/>
          <w:szCs w:val="22"/>
          <w:u w:val="none"/>
        </w:rPr>
        <w:t xml:space="preserve"> </w:t>
      </w:r>
      <w:r w:rsidR="00F87567">
        <w:rPr>
          <w:rStyle w:val="Hyperlink"/>
          <w:rFonts w:ascii="Calibri" w:hAnsi="Calibri"/>
          <w:noProof/>
          <w:color w:val="auto"/>
          <w:sz w:val="22"/>
          <w:szCs w:val="22"/>
          <w:u w:val="none"/>
        </w:rPr>
        <w:t>By country and overall</w:t>
      </w:r>
      <w:r w:rsidR="00CB5896" w:rsidRPr="00CB5896">
        <w:rPr>
          <w:rFonts w:ascii="Calibri" w:hAnsi="Calibri"/>
          <w:noProof/>
          <w:webHidden/>
          <w:sz w:val="22"/>
          <w:szCs w:val="22"/>
        </w:rPr>
        <w:tab/>
      </w:r>
      <w:r w:rsidR="00CB5896">
        <w:rPr>
          <w:rFonts w:ascii="Calibri" w:hAnsi="Calibri"/>
          <w:noProof/>
          <w:webHidden/>
          <w:sz w:val="22"/>
          <w:szCs w:val="22"/>
        </w:rPr>
        <w:t>1</w:t>
      </w:r>
      <w:r w:rsidR="00F87567">
        <w:rPr>
          <w:rFonts w:ascii="Calibri" w:hAnsi="Calibri"/>
          <w:noProof/>
          <w:webHidden/>
          <w:sz w:val="22"/>
          <w:szCs w:val="22"/>
        </w:rPr>
        <w:t>5</w:t>
      </w:r>
    </w:p>
    <w:p w:rsidR="000B5467" w:rsidRPr="00CB5896" w:rsidRDefault="000B5467" w:rsidP="000B5467">
      <w:pPr>
        <w:pStyle w:val="TOC1"/>
        <w:tabs>
          <w:tab w:val="right" w:leader="dot" w:pos="9015"/>
        </w:tabs>
        <w:rPr>
          <w:rFonts w:ascii="Calibri" w:hAnsi="Calibri"/>
          <w:noProof/>
          <w:sz w:val="22"/>
          <w:szCs w:val="22"/>
        </w:rPr>
      </w:pPr>
      <w:r>
        <w:rPr>
          <w:rStyle w:val="Hyperlink"/>
          <w:rFonts w:ascii="Calibri" w:hAnsi="Calibri"/>
          <w:noProof/>
          <w:color w:val="auto"/>
          <w:sz w:val="22"/>
          <w:szCs w:val="22"/>
          <w:u w:val="none"/>
        </w:rPr>
        <w:t>Appendix 7</w:t>
      </w:r>
      <w:r w:rsidRPr="00CB5896">
        <w:rPr>
          <w:rStyle w:val="Hyperlink"/>
          <w:rFonts w:ascii="Calibri" w:hAnsi="Calibri"/>
          <w:noProof/>
          <w:color w:val="auto"/>
          <w:sz w:val="22"/>
          <w:szCs w:val="22"/>
          <w:u w:val="none"/>
        </w:rPr>
        <w:t xml:space="preserve">: DM diagnostics </w:t>
      </w:r>
      <w:r>
        <w:rPr>
          <w:rStyle w:val="Hyperlink"/>
          <w:rFonts w:ascii="Calibri" w:hAnsi="Calibri"/>
          <w:noProof/>
          <w:color w:val="auto"/>
          <w:sz w:val="22"/>
          <w:szCs w:val="22"/>
          <w:u w:val="none"/>
        </w:rPr>
        <w:t>–</w:t>
      </w:r>
      <w:r w:rsidRPr="00CB5896">
        <w:rPr>
          <w:rStyle w:val="Hyperlink"/>
          <w:rFonts w:ascii="Calibri" w:hAnsi="Calibri"/>
          <w:noProof/>
          <w:color w:val="auto"/>
          <w:sz w:val="22"/>
          <w:szCs w:val="22"/>
          <w:u w:val="none"/>
        </w:rPr>
        <w:t xml:space="preserve"> </w:t>
      </w:r>
      <w:r>
        <w:rPr>
          <w:rStyle w:val="Hyperlink"/>
          <w:rFonts w:ascii="Calibri" w:hAnsi="Calibri"/>
          <w:noProof/>
          <w:color w:val="auto"/>
          <w:sz w:val="22"/>
          <w:szCs w:val="22"/>
          <w:u w:val="none"/>
        </w:rPr>
        <w:t>DM status confirmed by repeated testing following TB treatment</w:t>
      </w:r>
      <w:r w:rsidRPr="00CB5896">
        <w:rPr>
          <w:rFonts w:ascii="Calibri" w:hAnsi="Calibri"/>
          <w:noProof/>
          <w:webHidden/>
          <w:sz w:val="22"/>
          <w:szCs w:val="22"/>
        </w:rPr>
        <w:tab/>
      </w:r>
      <w:r>
        <w:rPr>
          <w:rFonts w:ascii="Calibri" w:hAnsi="Calibri"/>
          <w:noProof/>
          <w:webHidden/>
          <w:sz w:val="22"/>
          <w:szCs w:val="22"/>
        </w:rPr>
        <w:t>25</w:t>
      </w:r>
    </w:p>
    <w:p w:rsidR="00CB5896" w:rsidRPr="00CB5896" w:rsidRDefault="00C37617" w:rsidP="00CB5896">
      <w:pPr>
        <w:pStyle w:val="TOC1"/>
        <w:tabs>
          <w:tab w:val="right" w:leader="dot" w:pos="9015"/>
        </w:tabs>
        <w:rPr>
          <w:rFonts w:ascii="Calibri" w:hAnsi="Calibri"/>
          <w:noProof/>
          <w:sz w:val="22"/>
          <w:szCs w:val="22"/>
        </w:rPr>
      </w:pPr>
      <w:r>
        <w:rPr>
          <w:rStyle w:val="Hyperlink"/>
          <w:rFonts w:ascii="Calibri" w:hAnsi="Calibri"/>
          <w:noProof/>
          <w:color w:val="auto"/>
          <w:sz w:val="22"/>
          <w:szCs w:val="22"/>
          <w:u w:val="none"/>
        </w:rPr>
        <w:t xml:space="preserve">Appendix </w:t>
      </w:r>
      <w:r w:rsidR="000B5467">
        <w:rPr>
          <w:rStyle w:val="Hyperlink"/>
          <w:rFonts w:ascii="Calibri" w:hAnsi="Calibri"/>
          <w:noProof/>
          <w:color w:val="auto"/>
          <w:sz w:val="22"/>
          <w:szCs w:val="22"/>
          <w:u w:val="none"/>
        </w:rPr>
        <w:t>8</w:t>
      </w:r>
      <w:r w:rsidR="00CB5896" w:rsidRPr="00CB5896">
        <w:rPr>
          <w:rStyle w:val="Hyperlink"/>
          <w:rFonts w:ascii="Calibri" w:hAnsi="Calibri"/>
          <w:noProof/>
          <w:color w:val="auto"/>
          <w:sz w:val="22"/>
          <w:szCs w:val="22"/>
          <w:u w:val="none"/>
        </w:rPr>
        <w:t>: DM diagnostics - FBG as gold standard</w:t>
      </w:r>
      <w:r w:rsidR="00CB5896" w:rsidRPr="00CB5896">
        <w:rPr>
          <w:rFonts w:ascii="Calibri" w:hAnsi="Calibri"/>
          <w:noProof/>
          <w:webHidden/>
          <w:sz w:val="22"/>
          <w:szCs w:val="22"/>
        </w:rPr>
        <w:tab/>
      </w:r>
      <w:r w:rsidR="00F87567">
        <w:rPr>
          <w:rFonts w:ascii="Calibri" w:hAnsi="Calibri"/>
          <w:noProof/>
          <w:webHidden/>
          <w:sz w:val="22"/>
          <w:szCs w:val="22"/>
        </w:rPr>
        <w:t>2</w:t>
      </w:r>
      <w:r w:rsidR="000B5467">
        <w:rPr>
          <w:rFonts w:ascii="Calibri" w:hAnsi="Calibri"/>
          <w:noProof/>
          <w:webHidden/>
          <w:sz w:val="22"/>
          <w:szCs w:val="22"/>
        </w:rPr>
        <w:t>6</w:t>
      </w:r>
    </w:p>
    <w:p w:rsidR="00CB5896" w:rsidRPr="00CB5896" w:rsidRDefault="00C37617" w:rsidP="00CB5896">
      <w:pPr>
        <w:pStyle w:val="TOC1"/>
        <w:tabs>
          <w:tab w:val="right" w:leader="dot" w:pos="9015"/>
        </w:tabs>
        <w:rPr>
          <w:rFonts w:ascii="Calibri" w:hAnsi="Calibri"/>
          <w:noProof/>
          <w:sz w:val="22"/>
          <w:szCs w:val="22"/>
        </w:rPr>
      </w:pPr>
      <w:r>
        <w:rPr>
          <w:rStyle w:val="Hyperlink"/>
          <w:rFonts w:ascii="Calibri" w:hAnsi="Calibri"/>
          <w:noProof/>
          <w:color w:val="auto"/>
          <w:sz w:val="22"/>
          <w:szCs w:val="22"/>
          <w:u w:val="none"/>
        </w:rPr>
        <w:t xml:space="preserve">Appendix </w:t>
      </w:r>
      <w:r w:rsidR="000B5467">
        <w:rPr>
          <w:rStyle w:val="Hyperlink"/>
          <w:rFonts w:ascii="Calibri" w:hAnsi="Calibri"/>
          <w:noProof/>
          <w:color w:val="auto"/>
          <w:sz w:val="22"/>
          <w:szCs w:val="22"/>
          <w:u w:val="none"/>
        </w:rPr>
        <w:t>9</w:t>
      </w:r>
      <w:r w:rsidR="00CB5896" w:rsidRPr="00CB5896">
        <w:rPr>
          <w:rStyle w:val="Hyperlink"/>
          <w:rFonts w:ascii="Calibri" w:hAnsi="Calibri"/>
          <w:noProof/>
          <w:color w:val="auto"/>
          <w:sz w:val="22"/>
          <w:szCs w:val="22"/>
          <w:u w:val="none"/>
        </w:rPr>
        <w:t>: Mean laboratory HbA1c by haemoglobin category</w:t>
      </w:r>
      <w:r w:rsidR="00CB5896" w:rsidRPr="00CB5896">
        <w:rPr>
          <w:rFonts w:ascii="Calibri" w:hAnsi="Calibri"/>
          <w:noProof/>
          <w:webHidden/>
          <w:sz w:val="22"/>
          <w:szCs w:val="22"/>
        </w:rPr>
        <w:tab/>
      </w:r>
      <w:r w:rsidR="00F87567">
        <w:rPr>
          <w:rFonts w:ascii="Calibri" w:hAnsi="Calibri"/>
          <w:noProof/>
          <w:webHidden/>
          <w:sz w:val="22"/>
          <w:szCs w:val="22"/>
        </w:rPr>
        <w:t>2</w:t>
      </w:r>
      <w:r w:rsidR="000B5467">
        <w:rPr>
          <w:rFonts w:ascii="Calibri" w:hAnsi="Calibri"/>
          <w:noProof/>
          <w:webHidden/>
          <w:sz w:val="22"/>
          <w:szCs w:val="22"/>
        </w:rPr>
        <w:t>8</w:t>
      </w:r>
    </w:p>
    <w:p w:rsidR="007B64B7" w:rsidRPr="00D42658" w:rsidRDefault="007B64B7" w:rsidP="00CB5896">
      <w:pPr>
        <w:rPr>
          <w:rFonts w:asciiTheme="minorHAnsi" w:hAnsiTheme="minorHAnsi" w:cs="Arial"/>
          <w:sz w:val="22"/>
          <w:szCs w:val="22"/>
        </w:rPr>
      </w:pPr>
    </w:p>
    <w:p w:rsidR="00CB5896" w:rsidRPr="00CB5896" w:rsidRDefault="00CB5896" w:rsidP="00CB5896">
      <w:pPr>
        <w:pStyle w:val="Heading1"/>
        <w:rPr>
          <w:rFonts w:ascii="Calibri" w:hAnsi="Calibri"/>
          <w:sz w:val="22"/>
          <w:szCs w:val="22"/>
        </w:rPr>
      </w:pPr>
    </w:p>
    <w:p w:rsidR="0017398A" w:rsidRPr="00CA2988" w:rsidRDefault="007B64B7" w:rsidP="0017398A">
      <w:pPr>
        <w:pStyle w:val="Heading1"/>
        <w:rPr>
          <w:b w:val="0"/>
          <w:noProof/>
          <w:sz w:val="32"/>
          <w:szCs w:val="32"/>
        </w:rPr>
      </w:pPr>
      <w:r>
        <w:rPr>
          <w:rFonts w:asciiTheme="minorHAnsi" w:hAnsiTheme="minorHAnsi"/>
          <w:sz w:val="22"/>
          <w:szCs w:val="22"/>
        </w:rPr>
        <w:br w:type="page"/>
      </w:r>
      <w:r w:rsidR="0017398A" w:rsidRPr="00CA2988">
        <w:rPr>
          <w:b w:val="0"/>
          <w:noProof/>
          <w:sz w:val="32"/>
          <w:szCs w:val="32"/>
        </w:rPr>
        <w:lastRenderedPageBreak/>
        <w:t xml:space="preserve"> </w:t>
      </w:r>
    </w:p>
    <w:p w:rsidR="00762BFF" w:rsidRPr="00CA2988" w:rsidRDefault="00762BFF" w:rsidP="00762BFF">
      <w:pPr>
        <w:rPr>
          <w:rFonts w:ascii="Arial" w:hAnsi="Arial" w:cs="Arial"/>
          <w:sz w:val="32"/>
          <w:szCs w:val="32"/>
        </w:rPr>
      </w:pPr>
      <w:r w:rsidRPr="00CA2988">
        <w:rPr>
          <w:rFonts w:ascii="Arial" w:hAnsi="Arial" w:cs="Arial"/>
          <w:b/>
          <w:noProof/>
          <w:sz w:val="32"/>
          <w:szCs w:val="32"/>
        </w:rPr>
        <w:t>A</w:t>
      </w:r>
      <w:r w:rsidR="0017398A">
        <w:rPr>
          <w:rFonts w:ascii="Arial" w:hAnsi="Arial" w:cs="Arial"/>
          <w:b/>
          <w:noProof/>
          <w:sz w:val="32"/>
          <w:szCs w:val="32"/>
        </w:rPr>
        <w:t>PPENDIX 1</w:t>
      </w:r>
      <w:r w:rsidRPr="00CA2988">
        <w:rPr>
          <w:rFonts w:ascii="Arial" w:hAnsi="Arial" w:cs="Arial"/>
          <w:b/>
          <w:noProof/>
          <w:sz w:val="32"/>
          <w:szCs w:val="32"/>
        </w:rPr>
        <w:t xml:space="preserve"> – SITE LOCATIONS FOR TANDEM STUDY</w:t>
      </w:r>
    </w:p>
    <w:p w:rsidR="00762BFF" w:rsidRDefault="00762BFF" w:rsidP="00762BFF">
      <w:r>
        <w:br/>
      </w:r>
    </w:p>
    <w:p w:rsidR="008D2731" w:rsidRPr="008D2731" w:rsidRDefault="008D2731" w:rsidP="008D2731">
      <w:pPr>
        <w:rPr>
          <w:rFonts w:ascii="Calibri" w:hAnsi="Calibri"/>
          <w:b/>
          <w:sz w:val="28"/>
          <w:szCs w:val="28"/>
        </w:rPr>
      </w:pPr>
      <w:r w:rsidRPr="008D2731">
        <w:rPr>
          <w:rFonts w:ascii="Calibri" w:hAnsi="Calibri"/>
          <w:b/>
          <w:sz w:val="28"/>
          <w:szCs w:val="28"/>
        </w:rPr>
        <w:t>Summary - Study site locations</w:t>
      </w:r>
      <w:r w:rsidR="00572C1B">
        <w:rPr>
          <w:rFonts w:ascii="Calibri" w:hAnsi="Calibri"/>
          <w:b/>
          <w:sz w:val="28"/>
          <w:szCs w:val="28"/>
        </w:rPr>
        <w:t xml:space="preserve"> and dates of recruitment</w:t>
      </w:r>
    </w:p>
    <w:p w:rsidR="008D2731" w:rsidRPr="008D2731" w:rsidRDefault="008D2731" w:rsidP="008D2731">
      <w:pPr>
        <w:rPr>
          <w:rFonts w:ascii="Calibri" w:hAnsi="Calibri"/>
          <w:b/>
          <w:sz w:val="22"/>
          <w:szCs w:val="22"/>
        </w:rPr>
      </w:pPr>
    </w:p>
    <w:p w:rsidR="008D2731" w:rsidRDefault="008D2731" w:rsidP="008D2731">
      <w:pPr>
        <w:spacing w:line="360" w:lineRule="auto"/>
        <w:rPr>
          <w:sz w:val="22"/>
          <w:szCs w:val="22"/>
          <w:lang w:val="en-US"/>
        </w:rPr>
      </w:pPr>
    </w:p>
    <w:p w:rsidR="008D2731" w:rsidRDefault="008D2731" w:rsidP="008D2731">
      <w:pPr>
        <w:spacing w:line="360" w:lineRule="auto"/>
        <w:rPr>
          <w:rFonts w:asciiTheme="minorHAnsi" w:hAnsiTheme="minorHAnsi"/>
          <w:sz w:val="22"/>
          <w:szCs w:val="22"/>
          <w:lang w:val="en-US"/>
        </w:rPr>
      </w:pPr>
      <w:r w:rsidRPr="0017398A">
        <w:rPr>
          <w:rFonts w:asciiTheme="minorHAnsi" w:hAnsiTheme="minorHAnsi"/>
          <w:sz w:val="22"/>
          <w:szCs w:val="22"/>
          <w:lang w:val="en-US"/>
        </w:rPr>
        <w:t xml:space="preserve">In Bandung, Indonesia, suspected TB patients were recruited in 44 community health centres </w:t>
      </w:r>
      <w:r w:rsidR="002B1E24">
        <w:rPr>
          <w:rFonts w:asciiTheme="minorHAnsi" w:hAnsiTheme="minorHAnsi"/>
          <w:sz w:val="22"/>
          <w:szCs w:val="22"/>
          <w:lang w:val="en-US"/>
        </w:rPr>
        <w:t xml:space="preserve">(CHCs) </w:t>
      </w:r>
      <w:r w:rsidRPr="0017398A">
        <w:rPr>
          <w:rFonts w:asciiTheme="minorHAnsi" w:hAnsiTheme="minorHAnsi"/>
          <w:sz w:val="22"/>
          <w:szCs w:val="22"/>
          <w:lang w:val="en-US"/>
        </w:rPr>
        <w:t>and from a district and a referral hospital. In Lima, Peru, patients were recruited at three primary health facilities and one secondary level hospital. In Romania, patients with TB were recruited from two secondary level hospitals, in two counties (Gorj and Dolj). In</w:t>
      </w:r>
      <w:r w:rsidRPr="0017398A">
        <w:rPr>
          <w:rFonts w:asciiTheme="minorHAnsi" w:hAnsiTheme="minorHAnsi"/>
          <w:color w:val="FF0000"/>
          <w:sz w:val="22"/>
          <w:szCs w:val="22"/>
          <w:lang w:val="en-US"/>
        </w:rPr>
        <w:t xml:space="preserve"> </w:t>
      </w:r>
      <w:r w:rsidRPr="0017398A">
        <w:rPr>
          <w:rFonts w:asciiTheme="minorHAnsi" w:hAnsiTheme="minorHAnsi"/>
          <w:sz w:val="22"/>
          <w:szCs w:val="22"/>
          <w:lang w:val="en-US"/>
        </w:rPr>
        <w:t>South Africa, patients were recruited at six community health care clinics in the northern Cape Town metropolitan area.</w:t>
      </w:r>
      <w:r w:rsidR="00572C1B">
        <w:rPr>
          <w:rFonts w:asciiTheme="minorHAnsi" w:hAnsiTheme="minorHAnsi"/>
          <w:sz w:val="22"/>
          <w:szCs w:val="22"/>
          <w:lang w:val="en-US"/>
        </w:rPr>
        <w:t xml:space="preserve"> All consecutive pulmonary tuberculosis (PTB) patients were recruited between the following dates: </w:t>
      </w:r>
    </w:p>
    <w:p w:rsidR="00572C1B" w:rsidRDefault="00572C1B" w:rsidP="008D2731">
      <w:pPr>
        <w:spacing w:line="360" w:lineRule="auto"/>
        <w:rPr>
          <w:rFonts w:asciiTheme="minorHAnsi" w:hAnsiTheme="minorHAnsi"/>
          <w:sz w:val="22"/>
          <w:szCs w:val="22"/>
          <w:lang w:val="en-US"/>
        </w:rPr>
      </w:pPr>
    </w:p>
    <w:p w:rsidR="00572C1B" w:rsidRDefault="00572C1B" w:rsidP="008D2731">
      <w:pPr>
        <w:spacing w:line="360" w:lineRule="auto"/>
        <w:rPr>
          <w:rFonts w:asciiTheme="minorHAnsi" w:hAnsiTheme="minorHAnsi"/>
          <w:sz w:val="22"/>
          <w:szCs w:val="22"/>
          <w:lang w:val="en-US"/>
        </w:rPr>
      </w:pPr>
      <w:r>
        <w:rPr>
          <w:rFonts w:asciiTheme="minorHAnsi" w:hAnsiTheme="minorHAnsi"/>
          <w:sz w:val="22"/>
          <w:szCs w:val="22"/>
          <w:lang w:val="en-US"/>
        </w:rPr>
        <w:t>February 2014 to February 2017 in Indonesia;</w:t>
      </w:r>
    </w:p>
    <w:p w:rsidR="00572C1B" w:rsidRDefault="00572C1B" w:rsidP="008D2731">
      <w:pPr>
        <w:spacing w:line="360" w:lineRule="auto"/>
        <w:rPr>
          <w:rFonts w:asciiTheme="minorHAnsi" w:hAnsiTheme="minorHAnsi"/>
          <w:sz w:val="22"/>
          <w:szCs w:val="22"/>
          <w:lang w:val="en-US"/>
        </w:rPr>
      </w:pPr>
      <w:r>
        <w:rPr>
          <w:rFonts w:asciiTheme="minorHAnsi" w:hAnsiTheme="minorHAnsi"/>
          <w:sz w:val="22"/>
          <w:szCs w:val="22"/>
          <w:lang w:val="en-US"/>
        </w:rPr>
        <w:t>January 2014 to June 2016 in Peru</w:t>
      </w:r>
    </w:p>
    <w:p w:rsidR="00572C1B" w:rsidRPr="0017398A" w:rsidRDefault="00572C1B" w:rsidP="00572C1B">
      <w:pPr>
        <w:spacing w:line="360" w:lineRule="auto"/>
        <w:rPr>
          <w:rFonts w:asciiTheme="minorHAnsi" w:hAnsiTheme="minorHAnsi"/>
          <w:color w:val="FF0000"/>
          <w:sz w:val="22"/>
          <w:szCs w:val="22"/>
          <w:lang w:val="en-US"/>
        </w:rPr>
      </w:pPr>
      <w:r>
        <w:rPr>
          <w:rFonts w:asciiTheme="minorHAnsi" w:hAnsiTheme="minorHAnsi"/>
          <w:sz w:val="22"/>
          <w:szCs w:val="22"/>
          <w:lang w:val="en-US"/>
        </w:rPr>
        <w:t>March 2014 to June 2016 in Romania</w:t>
      </w:r>
    </w:p>
    <w:p w:rsidR="00572C1B" w:rsidRDefault="00572C1B" w:rsidP="008D2731">
      <w:pPr>
        <w:spacing w:line="360" w:lineRule="auto"/>
        <w:rPr>
          <w:rFonts w:asciiTheme="minorHAnsi" w:hAnsiTheme="minorHAnsi"/>
          <w:sz w:val="22"/>
          <w:szCs w:val="22"/>
          <w:lang w:val="en-US"/>
        </w:rPr>
      </w:pPr>
      <w:r>
        <w:rPr>
          <w:rFonts w:asciiTheme="minorHAnsi" w:hAnsiTheme="minorHAnsi"/>
          <w:sz w:val="22"/>
          <w:szCs w:val="22"/>
          <w:lang w:val="en-US"/>
        </w:rPr>
        <w:t>February 2014 to September 2016 in South Africa</w:t>
      </w:r>
    </w:p>
    <w:p w:rsidR="002B1E24" w:rsidRDefault="002B1E24" w:rsidP="00762BFF">
      <w:pPr>
        <w:autoSpaceDE/>
        <w:autoSpaceDN/>
        <w:spacing w:after="360" w:line="360" w:lineRule="auto"/>
        <w:jc w:val="both"/>
        <w:rPr>
          <w:rFonts w:ascii="Calibri" w:hAnsi="Calibri"/>
          <w:b/>
          <w:sz w:val="28"/>
          <w:szCs w:val="28"/>
          <w:lang w:eastAsia="en-US"/>
        </w:rPr>
      </w:pPr>
    </w:p>
    <w:p w:rsidR="00604374" w:rsidRDefault="00762BFF" w:rsidP="00762BFF">
      <w:pPr>
        <w:autoSpaceDE/>
        <w:autoSpaceDN/>
        <w:spacing w:after="360" w:line="360" w:lineRule="auto"/>
        <w:jc w:val="both"/>
        <w:rPr>
          <w:rFonts w:ascii="Calibri" w:hAnsi="Calibri"/>
          <w:b/>
          <w:sz w:val="28"/>
          <w:szCs w:val="28"/>
          <w:lang w:eastAsia="en-US"/>
        </w:rPr>
      </w:pPr>
      <w:r w:rsidRPr="00762BFF">
        <w:rPr>
          <w:rFonts w:ascii="Calibri" w:hAnsi="Calibri"/>
          <w:b/>
          <w:sz w:val="28"/>
          <w:szCs w:val="28"/>
          <w:lang w:eastAsia="en-US"/>
        </w:rPr>
        <w:t>Country and site selection</w:t>
      </w:r>
    </w:p>
    <w:p w:rsidR="00762BFF" w:rsidRPr="00762BFF" w:rsidRDefault="00762BFF" w:rsidP="00762BFF">
      <w:pPr>
        <w:autoSpaceDE/>
        <w:autoSpaceDN/>
        <w:spacing w:after="360" w:line="360" w:lineRule="auto"/>
        <w:jc w:val="both"/>
        <w:rPr>
          <w:rFonts w:ascii="Calibri" w:hAnsi="Calibri"/>
          <w:sz w:val="22"/>
          <w:szCs w:val="22"/>
          <w:lang w:eastAsia="en-US"/>
        </w:rPr>
      </w:pPr>
      <w:r w:rsidRPr="00762BFF">
        <w:rPr>
          <w:rFonts w:ascii="Calibri" w:hAnsi="Calibri"/>
          <w:sz w:val="22"/>
          <w:szCs w:val="22"/>
          <w:lang w:eastAsia="en-US"/>
        </w:rPr>
        <w:br/>
        <w:t xml:space="preserve">For the TANDEM study, it was important to select countries from different geographic regions so that diverse cultural, health system structures and population demographics could be represented. The burden of TB and DM also needed to be sufficiently high so that there would be sufficient TB-DM burden within the populations to be able to detect a causal effect. The countries also needed to be typical of settings where economic improvement and changes in lifestyles would be likely to increase the risk of DM substantially. During the TANDEM proposal development in 2011, current data indicated that Peru and Romania had some of the highest TB incidence rates in the South American and European regions respectively (106 and 159 per 100,000 population respectively) and an expected increase of DM between 90% and 160% </w:t>
      </w:r>
      <w:r w:rsidRPr="00762BFF">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&lt;EndNote&gt;&lt;Cite&gt;&lt;Author&gt;WHO&lt;/Author&gt;&lt;Year&gt;2010&lt;/Year&gt;&lt;RecNum&gt;438&lt;/RecNum&gt;&lt;DisplayText&gt;&lt;style face="superscript"&gt;1&lt;/style&gt;&lt;/DisplayText&gt;&lt;record&gt;&lt;rec-number&gt;438&lt;/rec-number&gt;&lt;foreign-keys&gt;&lt;key app="EN" db-id="0zdstptv1dtvtweztp75rw52a555zrrxzxvx" timestamp="1497463467"&gt;438&lt;/key&gt;&lt;/foreign-keys&gt;&lt;ref-type name="Report"&gt;27&lt;/ref-type&gt;&lt;contributors&gt;&lt;authors&gt;&lt;author&gt;WHO&lt;/author&gt;&lt;/authors&gt;&lt;/contributors&gt;&lt;titles&gt;&lt;title&gt;Global Tuberculosis Report 2010&lt;/title&gt;&lt;/titles&gt;&lt;volume&gt;WHO/HTM/TB/2010.7&lt;/volume&gt;&lt;dates&gt;&lt;year&gt;2010&lt;/year&gt;&lt;/dates&gt;&lt;pub-location&gt;Geneva&lt;/pub-location&gt;&lt;publisher&gt;World Health Organization,&lt;/publisher&gt;&lt;urls&gt;&lt;/urls&gt;&lt;/record&gt;&lt;/Cite&gt;&lt;/EndNote&gt;</w:instrText>
      </w:r>
      <w:r w:rsidRPr="00762BFF">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1</w:t>
      </w:r>
      <w:r w:rsidRPr="00762BFF">
        <w:rPr>
          <w:rFonts w:ascii="Calibri" w:hAnsi="Calibri"/>
          <w:sz w:val="22"/>
          <w:szCs w:val="22"/>
          <w:lang w:eastAsia="en-US"/>
        </w:rPr>
        <w:fldChar w:fldCharType="end"/>
      </w:r>
      <w:r w:rsidRPr="00762BFF">
        <w:rPr>
          <w:rFonts w:ascii="Calibri" w:hAnsi="Calibri"/>
          <w:sz w:val="22"/>
          <w:szCs w:val="22"/>
          <w:lang w:eastAsia="en-US"/>
        </w:rPr>
        <w:t xml:space="preserve">. With a TB incidence of 189 per 100,000 population </w:t>
      </w:r>
      <w:r w:rsidRPr="00762BFF">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&lt;EndNote&gt;&lt;Cite&gt;&lt;Author&gt;WHO&lt;/Author&gt;&lt;Year&gt;2010&lt;/Year&gt;&lt;RecNum&gt;438&lt;/RecNum&gt;&lt;DisplayText&gt;&lt;style face="superscript"&gt;1&lt;/style&gt;&lt;/DisplayText&gt;&lt;record&gt;&lt;rec-number&gt;438&lt;/rec-number&gt;&lt;foreign-keys&gt;&lt;key app="EN" db-id="0zdstptv1dtvtweztp75rw52a555zrrxzxvx" timestamp="1497463467"&gt;438&lt;/key&gt;&lt;/foreign-keys&gt;&lt;ref-type name="Report"&gt;27&lt;/ref-type&gt;&lt;contributors&gt;&lt;authors&gt;&lt;author&gt;WHO&lt;/author&gt;&lt;/authors&gt;&lt;/contributors&gt;&lt;titles&gt;&lt;title&gt;Global Tuberculosis Report 2010&lt;/title&gt;&lt;/titles&gt;&lt;volume&gt;WHO/HTM/TB/2010.7&lt;/volume&gt;&lt;dates&gt;&lt;year&gt;2010&lt;/year&gt;&lt;/dates&gt;&lt;pub-location&gt;Geneva&lt;/pub-location&gt;&lt;publisher&gt;World Health Organization,&lt;/publisher&gt;&lt;urls&gt;&lt;/urls&gt;&lt;/record&gt;&lt;/Cite&gt;&lt;/EndNote&gt;</w:instrText>
      </w:r>
      <w:r w:rsidRPr="00762BFF">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1</w:t>
      </w:r>
      <w:r w:rsidRPr="00762BFF">
        <w:rPr>
          <w:rFonts w:ascii="Calibri" w:hAnsi="Calibri"/>
          <w:sz w:val="22"/>
          <w:szCs w:val="22"/>
          <w:lang w:eastAsia="en-US"/>
        </w:rPr>
        <w:fldChar w:fldCharType="end"/>
      </w:r>
      <w:r w:rsidRPr="00762BFF">
        <w:rPr>
          <w:rFonts w:ascii="Calibri" w:hAnsi="Calibri"/>
          <w:sz w:val="22"/>
          <w:szCs w:val="22"/>
          <w:lang w:eastAsia="en-US"/>
        </w:rPr>
        <w:t xml:space="preserve">, Indonesia’s burden was well above the recommended screening threshold for TB in people with DM </w:t>
      </w:r>
      <w:r w:rsidRPr="00762BFF">
        <w:rPr>
          <w:rFonts w:ascii="Calibri" w:hAnsi="Calibri"/>
          <w:sz w:val="22"/>
          <w:szCs w:val="22"/>
          <w:lang w:eastAsia="en-US"/>
        </w:rPr>
        <w:lastRenderedPageBreak/>
        <w:t xml:space="preserve">of 100 per 100,000, as recommended by the WHO/Union Framework </w:t>
      </w:r>
      <w:r w:rsidRPr="00762BFF">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&lt;EndNote&gt;&lt;Cite&gt;&lt;Author&gt;Union&lt;/Author&gt;&lt;Year&gt;2011&lt;/Year&gt;&lt;RecNum&gt;22&lt;/RecNum&gt;&lt;DisplayText&gt;&lt;style face="superscript"&gt;2&lt;/style&gt;&lt;/DisplayText&gt;&lt;record&gt;&lt;rec-number&gt;22&lt;/rec-number&gt;&lt;foreign-keys&gt;&lt;key app="EN" db-id="0zdstptv1dtvtweztp75rw52a555zrrxzxvx" timestamp="1412695001"&gt;22&lt;/key&gt;&lt;/foreign-keys&gt;&lt;ref-type name="Report"&gt;27&lt;/ref-type&gt;&lt;contributors&gt;&lt;authors&gt;&lt;author&gt;The Union,&lt;/author&gt;&lt;author&gt;WHO,&lt;/author&gt;&lt;/authors&gt;&lt;secondary-authors&gt;&lt;author&gt;International Union Against Tuberculosis and Lung Disease,&lt;/author&gt;&lt;author&gt;World Health Organization,&lt;/author&gt;&lt;/secondary-authors&gt;&lt;tertiary-authors&gt;&lt;author&gt;WHO Document Production Services&lt;/author&gt;&lt;/tertiary-authors&gt;&lt;/contributors&gt;&lt;titles&gt;&lt;title&gt;Collaborative framework for care and control of tuberculosis and diabetes&lt;/title&gt;&lt;short-title&gt;Provisional collaborative framework, 2011&lt;/short-title&gt;&lt;/titles&gt;&lt;dates&gt;&lt;year&gt;2011&lt;/year&gt;&lt;/dates&gt;&lt;pub-location&gt;Geneva&lt;/pub-location&gt;&lt;publisher&gt;World Health Organization&lt;/publisher&gt;&lt;urls&gt;&lt;related-urls&gt;&lt;url&gt;http://whqlibdoc.who.int/publications/2011/9789241502252_eng.pdf&lt;/url&gt;&lt;/related-urls&gt;&lt;/urls&gt;&lt;access-date&gt;July 15, 2013&lt;/access-date&gt;&lt;/record&gt;&lt;/Cite&gt;&lt;/EndNote&gt;</w:instrText>
      </w:r>
      <w:r w:rsidRPr="00762BFF">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2</w:t>
      </w:r>
      <w:r w:rsidRPr="00762BFF">
        <w:rPr>
          <w:rFonts w:ascii="Calibri" w:hAnsi="Calibri"/>
          <w:sz w:val="22"/>
          <w:szCs w:val="22"/>
          <w:lang w:eastAsia="en-US"/>
        </w:rPr>
        <w:fldChar w:fldCharType="end"/>
      </w:r>
      <w:r w:rsidRPr="00762BFF">
        <w:rPr>
          <w:rFonts w:ascii="Calibri" w:hAnsi="Calibri"/>
          <w:sz w:val="22"/>
          <w:szCs w:val="22"/>
          <w:lang w:eastAsia="en-US"/>
        </w:rPr>
        <w:t>, even though it was not one of the highest in the South-East Asia region at that time.</w:t>
      </w:r>
    </w:p>
    <w:p w:rsidR="00762BFF" w:rsidRPr="00762BFF" w:rsidRDefault="00762BFF" w:rsidP="00762BFF">
      <w:pPr>
        <w:autoSpaceDE/>
        <w:autoSpaceDN/>
        <w:spacing w:after="360" w:line="360" w:lineRule="auto"/>
        <w:jc w:val="both"/>
        <w:rPr>
          <w:rFonts w:ascii="Calibri" w:hAnsi="Calibri"/>
          <w:sz w:val="22"/>
          <w:szCs w:val="22"/>
          <w:lang w:eastAsia="en-US"/>
        </w:rPr>
      </w:pPr>
      <w:r w:rsidRPr="00762BFF">
        <w:rPr>
          <w:rFonts w:ascii="Calibri" w:hAnsi="Calibri"/>
          <w:sz w:val="22"/>
          <w:szCs w:val="22"/>
          <w:lang w:eastAsia="en-US"/>
        </w:rPr>
        <w:t>The feasibility of conducting the studies was also an important criterion in the country selection and this was largely informed by long-term pre-existing research relationships between the TANDEM project principal investigators and research institutions within the countries as well as the collaborators’ capacity to recruit, test and treat patients for TB and DM and their access to potential participants. Given these considerations, Indonesia, Peru</w:t>
      </w:r>
      <w:r w:rsidR="006D56D9">
        <w:rPr>
          <w:rFonts w:ascii="Calibri" w:hAnsi="Calibri"/>
          <w:sz w:val="22"/>
          <w:szCs w:val="22"/>
          <w:lang w:eastAsia="en-US"/>
        </w:rPr>
        <w:t>,</w:t>
      </w:r>
      <w:r w:rsidRPr="00762BFF">
        <w:rPr>
          <w:rFonts w:ascii="Calibri" w:hAnsi="Calibri"/>
          <w:sz w:val="22"/>
          <w:szCs w:val="22"/>
          <w:lang w:eastAsia="en-US"/>
        </w:rPr>
        <w:t xml:space="preserve"> Romania,</w:t>
      </w:r>
      <w:r w:rsidR="006D56D9">
        <w:rPr>
          <w:rFonts w:ascii="Calibri" w:hAnsi="Calibri"/>
          <w:sz w:val="22"/>
          <w:szCs w:val="22"/>
          <w:lang w:eastAsia="en-US"/>
        </w:rPr>
        <w:t xml:space="preserve"> and South Africa</w:t>
      </w:r>
      <w:r w:rsidRPr="00762BFF">
        <w:rPr>
          <w:rFonts w:ascii="Calibri" w:hAnsi="Calibri"/>
          <w:sz w:val="22"/>
          <w:szCs w:val="22"/>
          <w:lang w:eastAsia="en-US"/>
        </w:rPr>
        <w:t xml:space="preserve"> each with a high burden of TB and an increasing prevalence of DM, were selected. </w:t>
      </w:r>
    </w:p>
    <w:p w:rsidR="002B1E24" w:rsidRPr="00762BFF" w:rsidRDefault="002B1E24" w:rsidP="002B1E24">
      <w:pPr>
        <w:autoSpaceDE/>
        <w:autoSpaceDN/>
        <w:spacing w:after="360" w:line="360" w:lineRule="auto"/>
        <w:jc w:val="both"/>
        <w:rPr>
          <w:rFonts w:ascii="Calibri" w:hAnsi="Calibri"/>
          <w:sz w:val="22"/>
          <w:szCs w:val="22"/>
          <w:lang w:eastAsia="en-US"/>
        </w:rPr>
      </w:pPr>
      <w:r w:rsidRPr="00762BFF">
        <w:rPr>
          <w:rFonts w:ascii="Calibri" w:hAnsi="Calibri"/>
          <w:sz w:val="22"/>
          <w:szCs w:val="22"/>
          <w:lang w:eastAsia="en-US"/>
        </w:rPr>
        <w:t>The research team</w:t>
      </w:r>
      <w:r>
        <w:rPr>
          <w:rFonts w:ascii="Calibri" w:hAnsi="Calibri"/>
          <w:sz w:val="22"/>
          <w:szCs w:val="22"/>
          <w:lang w:eastAsia="en-US"/>
        </w:rPr>
        <w:t xml:space="preserve"> based in the Universitas Padjadjaran</w:t>
      </w:r>
      <w:r w:rsidRPr="00762BFF">
        <w:rPr>
          <w:rFonts w:ascii="Calibri" w:hAnsi="Calibri"/>
          <w:sz w:val="22"/>
          <w:szCs w:val="22"/>
          <w:lang w:eastAsia="en-US"/>
        </w:rPr>
        <w:t xml:space="preserve"> </w:t>
      </w:r>
      <w:r>
        <w:rPr>
          <w:rFonts w:ascii="Calibri" w:hAnsi="Calibri"/>
          <w:sz w:val="22"/>
          <w:szCs w:val="22"/>
          <w:lang w:eastAsia="en-US"/>
        </w:rPr>
        <w:t>(</w:t>
      </w:r>
      <w:r w:rsidRPr="00762BFF">
        <w:rPr>
          <w:rFonts w:ascii="Calibri" w:hAnsi="Calibri"/>
          <w:sz w:val="22"/>
          <w:szCs w:val="22"/>
          <w:lang w:eastAsia="en-US"/>
        </w:rPr>
        <w:t>UNPAD</w:t>
      </w:r>
      <w:r>
        <w:rPr>
          <w:rFonts w:ascii="Calibri" w:hAnsi="Calibri"/>
          <w:sz w:val="22"/>
          <w:szCs w:val="22"/>
          <w:lang w:eastAsia="en-US"/>
        </w:rPr>
        <w:t>)</w:t>
      </w:r>
      <w:r w:rsidRPr="00762BFF">
        <w:rPr>
          <w:rFonts w:ascii="Calibri" w:hAnsi="Calibri"/>
          <w:sz w:val="22"/>
          <w:szCs w:val="22"/>
          <w:lang w:eastAsia="en-US"/>
        </w:rPr>
        <w:t xml:space="preserve"> in Bandung, Indonesia has a pre-existing research relationship with</w:t>
      </w:r>
      <w:r>
        <w:rPr>
          <w:rFonts w:ascii="Calibri" w:hAnsi="Calibri"/>
          <w:sz w:val="22"/>
          <w:szCs w:val="22"/>
          <w:lang w:eastAsia="en-US"/>
        </w:rPr>
        <w:t xml:space="preserve"> the main public tertiary t</w:t>
      </w:r>
      <w:r w:rsidRPr="00762BFF">
        <w:rPr>
          <w:rFonts w:ascii="Calibri" w:hAnsi="Calibri"/>
          <w:sz w:val="22"/>
          <w:szCs w:val="22"/>
          <w:lang w:eastAsia="en-US"/>
        </w:rPr>
        <w:t xml:space="preserve">eaching Hospital </w:t>
      </w:r>
      <w:r>
        <w:rPr>
          <w:rFonts w:ascii="Calibri" w:hAnsi="Calibri"/>
          <w:sz w:val="22"/>
          <w:szCs w:val="22"/>
          <w:lang w:eastAsia="en-US"/>
        </w:rPr>
        <w:t>(</w:t>
      </w:r>
      <w:r w:rsidRPr="00762BFF">
        <w:rPr>
          <w:rFonts w:ascii="Calibri" w:hAnsi="Calibri"/>
          <w:sz w:val="22"/>
          <w:szCs w:val="22"/>
          <w:lang w:eastAsia="en-US"/>
        </w:rPr>
        <w:t>RSHS</w:t>
      </w:r>
      <w:r>
        <w:rPr>
          <w:rFonts w:ascii="Calibri" w:hAnsi="Calibri"/>
          <w:sz w:val="22"/>
          <w:szCs w:val="22"/>
          <w:lang w:eastAsia="en-US"/>
        </w:rPr>
        <w:t>)</w:t>
      </w:r>
      <w:r w:rsidRPr="00762BFF">
        <w:rPr>
          <w:rFonts w:ascii="Calibri" w:hAnsi="Calibri"/>
          <w:sz w:val="22"/>
          <w:szCs w:val="22"/>
          <w:lang w:eastAsia="en-US"/>
        </w:rPr>
        <w:t xml:space="preserve">, thus the DOTS and Endocrinology clinics at RSHS were selected for recruitment of people with TB and DM, respectively. The </w:t>
      </w:r>
      <w:r>
        <w:rPr>
          <w:rFonts w:asciiTheme="minorHAnsi" w:hAnsiTheme="minorHAnsi"/>
          <w:sz w:val="22"/>
          <w:szCs w:val="22"/>
          <w:lang w:val="en-US"/>
        </w:rPr>
        <w:t>CHCs</w:t>
      </w:r>
      <w:r w:rsidRPr="00762BFF">
        <w:rPr>
          <w:rFonts w:ascii="Calibri" w:hAnsi="Calibri"/>
          <w:sz w:val="22"/>
          <w:szCs w:val="22"/>
          <w:lang w:eastAsia="en-US"/>
        </w:rPr>
        <w:t xml:space="preserve"> with the greatest number of patients with TB in Bandung were contacted and asked to participate in the TANDEM study, with the permission and endorsement of the City Health Office. </w:t>
      </w:r>
      <w:r>
        <w:rPr>
          <w:rFonts w:ascii="Calibri" w:hAnsi="Calibri"/>
          <w:sz w:val="22"/>
          <w:szCs w:val="22"/>
          <w:lang w:eastAsia="en-US"/>
        </w:rPr>
        <w:t>P</w:t>
      </w:r>
      <w:r w:rsidRPr="00762BFF">
        <w:rPr>
          <w:rFonts w:ascii="Calibri" w:hAnsi="Calibri"/>
          <w:sz w:val="22"/>
          <w:szCs w:val="22"/>
          <w:lang w:eastAsia="en-US"/>
        </w:rPr>
        <w:t xml:space="preserve">atients with TB were recruited from those facilities along with the 14 additional satellite </w:t>
      </w:r>
      <w:r>
        <w:rPr>
          <w:rFonts w:asciiTheme="minorHAnsi" w:hAnsiTheme="minorHAnsi"/>
          <w:sz w:val="22"/>
          <w:szCs w:val="22"/>
          <w:lang w:val="en-US"/>
        </w:rPr>
        <w:t>CHCs</w:t>
      </w:r>
      <w:r w:rsidRPr="00762BFF">
        <w:rPr>
          <w:rFonts w:ascii="Calibri" w:hAnsi="Calibri"/>
          <w:sz w:val="22"/>
          <w:szCs w:val="22"/>
          <w:lang w:eastAsia="en-US"/>
        </w:rPr>
        <w:t xml:space="preserve">. Recruitment of patients with TB was lower than expected, particularly from </w:t>
      </w:r>
      <w:r>
        <w:rPr>
          <w:rFonts w:ascii="Calibri" w:hAnsi="Calibri"/>
          <w:sz w:val="22"/>
          <w:szCs w:val="22"/>
          <w:lang w:eastAsia="en-US"/>
        </w:rPr>
        <w:t>CHCs</w:t>
      </w:r>
      <w:r w:rsidRPr="00762BFF">
        <w:rPr>
          <w:rFonts w:ascii="Calibri" w:hAnsi="Calibri"/>
          <w:sz w:val="22"/>
          <w:szCs w:val="22"/>
          <w:lang w:eastAsia="en-US"/>
        </w:rPr>
        <w:t xml:space="preserve"> in the east. Therefore, the second hospital, Ujung Berung </w:t>
      </w:r>
      <w:r>
        <w:rPr>
          <w:rFonts w:ascii="Calibri" w:hAnsi="Calibri"/>
          <w:sz w:val="22"/>
          <w:szCs w:val="22"/>
          <w:lang w:eastAsia="en-US"/>
        </w:rPr>
        <w:t xml:space="preserve">District </w:t>
      </w:r>
      <w:r w:rsidRPr="00762BFF">
        <w:rPr>
          <w:rFonts w:ascii="Calibri" w:hAnsi="Calibri"/>
          <w:sz w:val="22"/>
          <w:szCs w:val="22"/>
          <w:lang w:eastAsia="en-US"/>
        </w:rPr>
        <w:t xml:space="preserve">Hospital, was later added so that patients with suspected TB at </w:t>
      </w:r>
      <w:r>
        <w:rPr>
          <w:rFonts w:ascii="Calibri" w:hAnsi="Calibri"/>
          <w:sz w:val="22"/>
          <w:szCs w:val="22"/>
          <w:lang w:eastAsia="en-US"/>
        </w:rPr>
        <w:t>CHCs</w:t>
      </w:r>
      <w:r w:rsidRPr="00762BFF">
        <w:rPr>
          <w:rFonts w:ascii="Calibri" w:hAnsi="Calibri"/>
          <w:sz w:val="22"/>
          <w:szCs w:val="22"/>
          <w:lang w:eastAsia="en-US"/>
        </w:rPr>
        <w:t xml:space="preserve"> in east Bandung could be sent to Ujung Berung hospital for confirmation and enrolment in TANDEM.</w:t>
      </w:r>
    </w:p>
    <w:p w:rsidR="00762BFF" w:rsidRPr="00762BFF" w:rsidRDefault="00762BFF" w:rsidP="00762BFF">
      <w:pPr>
        <w:autoSpaceDE/>
        <w:autoSpaceDN/>
        <w:spacing w:after="360" w:line="360" w:lineRule="auto"/>
        <w:jc w:val="both"/>
        <w:rPr>
          <w:rFonts w:ascii="Calibri" w:hAnsi="Calibri"/>
          <w:sz w:val="22"/>
          <w:szCs w:val="22"/>
          <w:lang w:eastAsia="en-US"/>
        </w:rPr>
      </w:pPr>
      <w:r w:rsidRPr="00762BFF">
        <w:rPr>
          <w:rFonts w:ascii="Calibri" w:hAnsi="Calibri"/>
          <w:sz w:val="22"/>
          <w:szCs w:val="22"/>
          <w:lang w:eastAsia="en-US"/>
        </w:rPr>
        <w:t>In Peru, TANDEM made a request to the Ministry of Health to get permission and access to health facilities in Lima to conduct the studies in WP1 and WP2. The Ministry of Health then provided a list of facilities with sufficient patient volume to meet the Peru recruitment targets and that were not already involved in another research project, conducted by any other local or international institution. HAMA, the reference hospital for almost one million people in South Lima, was chosen for recruitment of people with DM since the Endocrinology Department and the daily DM clinic are the most accessed DM services in the area, particularly by uninsured people with DM. To recruit people with TB, four health facilities with a high or medium prevalence of TB in the Metropolitan area of Lima were chosen.</w:t>
      </w:r>
    </w:p>
    <w:p w:rsidR="006D56D9" w:rsidRDefault="00762BFF" w:rsidP="00762BFF">
      <w:pPr>
        <w:autoSpaceDE/>
        <w:autoSpaceDN/>
        <w:spacing w:after="360" w:line="360" w:lineRule="auto"/>
        <w:jc w:val="both"/>
        <w:rPr>
          <w:rFonts w:ascii="Calibri" w:hAnsi="Calibri"/>
          <w:sz w:val="22"/>
          <w:szCs w:val="22"/>
          <w:lang w:eastAsia="en-US"/>
        </w:rPr>
      </w:pPr>
      <w:r w:rsidRPr="00762BFF">
        <w:rPr>
          <w:rFonts w:ascii="Calibri" w:hAnsi="Calibri"/>
          <w:sz w:val="22"/>
          <w:szCs w:val="22"/>
          <w:lang w:eastAsia="en-US"/>
        </w:rPr>
        <w:t xml:space="preserve">In Romania, sites were also purposively selected based on pre-existing research collaborations with the country principal investigator in Dolj and Gorj counties as well as a high volume of patients with </w:t>
      </w:r>
      <w:r w:rsidRPr="00762BFF">
        <w:rPr>
          <w:rFonts w:ascii="Calibri" w:hAnsi="Calibri"/>
          <w:sz w:val="22"/>
          <w:szCs w:val="22"/>
          <w:lang w:eastAsia="en-US"/>
        </w:rPr>
        <w:lastRenderedPageBreak/>
        <w:t>TB at the Victor Babes Hospital and the Runcu Hospital, and patients with DM at the two general hospitals.</w:t>
      </w:r>
    </w:p>
    <w:p w:rsidR="00762BFF" w:rsidRPr="006D56D9" w:rsidRDefault="006D56D9" w:rsidP="006D56D9">
      <w:pPr>
        <w:pStyle w:val="PlainText"/>
        <w:spacing w:line="360" w:lineRule="auto"/>
        <w:jc w:val="both"/>
        <w:rPr>
          <w:rFonts w:asciiTheme="minorHAnsi" w:hAnsiTheme="minorHAnsi"/>
          <w:lang w:val="en-US" w:eastAsia="en-US"/>
        </w:rPr>
      </w:pPr>
      <w:r w:rsidRPr="006D56D9">
        <w:rPr>
          <w:rFonts w:asciiTheme="minorHAnsi" w:hAnsiTheme="minorHAnsi"/>
          <w:lang w:eastAsia="en-US"/>
        </w:rPr>
        <w:t xml:space="preserve">In South Africa, all </w:t>
      </w:r>
      <w:r w:rsidRPr="006D56D9">
        <w:rPr>
          <w:rFonts w:asciiTheme="minorHAnsi" w:hAnsiTheme="minorHAnsi"/>
          <w:bCs/>
        </w:rPr>
        <w:t>clinical sites used for recruitment were located in the northern part of the Cape Town metropolitan area.  The facilities were selected because the</w:t>
      </w:r>
      <w:r>
        <w:rPr>
          <w:rFonts w:asciiTheme="minorHAnsi" w:hAnsiTheme="minorHAnsi"/>
          <w:bCs/>
        </w:rPr>
        <w:t>y</w:t>
      </w:r>
      <w:r w:rsidRPr="006D56D9">
        <w:rPr>
          <w:rFonts w:asciiTheme="minorHAnsi" w:hAnsiTheme="minorHAnsi"/>
          <w:bCs/>
        </w:rPr>
        <w:t xml:space="preserve"> are relatively close to Stellenbosch University's Faculty </w:t>
      </w:r>
      <w:r>
        <w:rPr>
          <w:rFonts w:asciiTheme="minorHAnsi" w:hAnsiTheme="minorHAnsi"/>
          <w:bCs/>
        </w:rPr>
        <w:t>of Medicine and Health Sciences and</w:t>
      </w:r>
      <w:r w:rsidRPr="006D56D9">
        <w:rPr>
          <w:rFonts w:asciiTheme="minorHAnsi" w:hAnsiTheme="minorHAnsi"/>
          <w:bCs/>
        </w:rPr>
        <w:t xml:space="preserve"> cater for people with low- to lower-middle income for who</w:t>
      </w:r>
      <w:r>
        <w:rPr>
          <w:rFonts w:asciiTheme="minorHAnsi" w:hAnsiTheme="minorHAnsi"/>
          <w:bCs/>
        </w:rPr>
        <w:t>m interventions are most needed. T</w:t>
      </w:r>
      <w:r w:rsidRPr="006D56D9">
        <w:rPr>
          <w:rFonts w:asciiTheme="minorHAnsi" w:hAnsiTheme="minorHAnsi"/>
          <w:bCs/>
        </w:rPr>
        <w:t>he areas have previously been reported to have a high preva</w:t>
      </w:r>
      <w:r>
        <w:rPr>
          <w:rFonts w:asciiTheme="minorHAnsi" w:hAnsiTheme="minorHAnsi"/>
          <w:bCs/>
        </w:rPr>
        <w:t>lence of TB and diabetes, and the study team</w:t>
      </w:r>
      <w:r w:rsidRPr="006D56D9">
        <w:rPr>
          <w:rFonts w:asciiTheme="minorHAnsi" w:hAnsiTheme="minorHAnsi"/>
          <w:bCs/>
        </w:rPr>
        <w:t xml:space="preserve"> have a longstanding relationship with the personnel due to previous research activities.</w:t>
      </w:r>
      <w:r>
        <w:rPr>
          <w:rFonts w:asciiTheme="minorHAnsi" w:hAnsiTheme="minorHAnsi"/>
          <w:bCs/>
        </w:rPr>
        <w:t xml:space="preserve"> </w:t>
      </w:r>
      <w:r w:rsidRPr="006D56D9">
        <w:rPr>
          <w:rFonts w:asciiTheme="minorHAnsi" w:hAnsiTheme="minorHAnsi"/>
          <w:bCs/>
        </w:rPr>
        <w:t>Diabetes patients were recruited from 3 Community Health Centres, under the management of Western Cape Provincial Health Department.</w:t>
      </w:r>
      <w:r>
        <w:rPr>
          <w:rFonts w:asciiTheme="minorHAnsi" w:hAnsiTheme="minorHAnsi"/>
          <w:bCs/>
        </w:rPr>
        <w:t xml:space="preserve"> </w:t>
      </w:r>
      <w:r w:rsidRPr="006D56D9">
        <w:rPr>
          <w:rFonts w:asciiTheme="minorHAnsi" w:hAnsiTheme="minorHAnsi"/>
          <w:bCs/>
        </w:rPr>
        <w:t>Tuberculosis patients were recruited from 6 Primary Health Centres, under the management of City of Cape Town Health Department.</w:t>
      </w:r>
      <w:r w:rsidR="00762BFF" w:rsidRPr="006D56D9">
        <w:rPr>
          <w:rFonts w:asciiTheme="minorHAnsi" w:hAnsiTheme="minorHAnsi"/>
          <w:lang w:val="en-US" w:eastAsia="en-US"/>
        </w:rPr>
        <w:t xml:space="preserve"> </w:t>
      </w:r>
    </w:p>
    <w:p w:rsidR="0059662E" w:rsidRDefault="0059662E" w:rsidP="00994322">
      <w:pPr>
        <w:pStyle w:val="Heading1"/>
      </w:pPr>
    </w:p>
    <w:p w:rsidR="00E540F7" w:rsidRDefault="00E540F7" w:rsidP="00CA2988">
      <w:pPr>
        <w:rPr>
          <w:rFonts w:ascii="Arial" w:hAnsi="Arial" w:cs="Arial"/>
          <w:b/>
          <w:noProof/>
          <w:sz w:val="32"/>
          <w:szCs w:val="32"/>
        </w:rPr>
        <w:sectPr w:rsidR="00E540F7" w:rsidSect="007B64B7">
          <w:headerReference w:type="default" r:id="rId8"/>
          <w:footerReference w:type="default" r:id="rId9"/>
          <w:pgSz w:w="11905" w:h="16837"/>
          <w:pgMar w:top="1134" w:right="1440" w:bottom="1134" w:left="1440" w:header="1440" w:footer="1440" w:gutter="0"/>
          <w:cols w:space="720"/>
          <w:docGrid w:linePitch="272"/>
        </w:sectPr>
      </w:pPr>
      <w:bookmarkStart w:id="0" w:name="_Toc481062991"/>
    </w:p>
    <w:p w:rsidR="00EB2238" w:rsidRPr="00CA2988" w:rsidRDefault="00EB2238" w:rsidP="00EB2238">
      <w:pPr>
        <w:tabs>
          <w:tab w:val="left" w:pos="2490"/>
        </w:tabs>
        <w:rPr>
          <w:rFonts w:ascii="Arial" w:hAnsi="Arial" w:cs="Arial"/>
          <w:b/>
          <w:sz w:val="32"/>
          <w:szCs w:val="32"/>
        </w:rPr>
      </w:pPr>
      <w:r w:rsidRPr="00CA2988">
        <w:rPr>
          <w:rFonts w:ascii="Arial" w:hAnsi="Arial" w:cs="Arial"/>
          <w:b/>
          <w:sz w:val="32"/>
          <w:szCs w:val="32"/>
        </w:rPr>
        <w:lastRenderedPageBreak/>
        <w:t>TANDEM – GLOBAL LOCATIONS</w:t>
      </w:r>
      <w:r w:rsidR="00B52490">
        <w:rPr>
          <w:rFonts w:ascii="Arial" w:hAnsi="Arial" w:cs="Arial"/>
          <w:b/>
          <w:sz w:val="32"/>
          <w:szCs w:val="32"/>
        </w:rPr>
        <w:t xml:space="preserve"> (See </w:t>
      </w:r>
      <w:r w:rsidR="00B52490" w:rsidRPr="00B52490">
        <w:rPr>
          <w:rFonts w:ascii="Arial" w:hAnsi="Arial" w:cs="Arial"/>
          <w:b/>
          <w:sz w:val="32"/>
          <w:szCs w:val="32"/>
        </w:rPr>
        <w:t>tandem-fp7.eu</w:t>
      </w:r>
      <w:r w:rsidR="00B52490">
        <w:rPr>
          <w:rFonts w:ascii="Arial" w:hAnsi="Arial" w:cs="Arial"/>
          <w:b/>
          <w:sz w:val="32"/>
          <w:szCs w:val="32"/>
        </w:rPr>
        <w:t>)</w:t>
      </w:r>
    </w:p>
    <w:p w:rsidR="00EB2238" w:rsidRDefault="00EB2238" w:rsidP="00EB2238">
      <w:pPr>
        <w:tabs>
          <w:tab w:val="left" w:pos="2490"/>
        </w:tabs>
      </w:pPr>
    </w:p>
    <w:p w:rsidR="00E540F7" w:rsidRDefault="0017398A" w:rsidP="00EB2238">
      <w:pPr>
        <w:tabs>
          <w:tab w:val="left" w:pos="2490"/>
        </w:tabs>
        <w:rPr>
          <w:b/>
          <w:sz w:val="40"/>
          <w:szCs w:val="40"/>
        </w:rPr>
      </w:pPr>
      <w:r w:rsidRPr="00E540F7">
        <w:rPr>
          <w:b/>
          <w:noProof/>
          <w:sz w:val="40"/>
          <w:szCs w:val="40"/>
        </w:rPr>
        <w:drawing>
          <wp:inline distT="0" distB="0" distL="0" distR="0">
            <wp:extent cx="9010650" cy="393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0650" cy="3933825"/>
                    </a:xfrm>
                    <a:prstGeom prst="rect">
                      <a:avLst/>
                    </a:prstGeom>
                    <a:noFill/>
                    <a:ln>
                      <a:noFill/>
                    </a:ln>
                  </pic:spPr>
                </pic:pic>
              </a:graphicData>
            </a:graphic>
          </wp:inline>
        </w:drawing>
      </w:r>
    </w:p>
    <w:p w:rsidR="00EB2238" w:rsidRPr="001A076F" w:rsidRDefault="00E540F7" w:rsidP="00EB2238">
      <w:pPr>
        <w:tabs>
          <w:tab w:val="left" w:pos="2490"/>
        </w:tabs>
        <w:rPr>
          <w:rFonts w:ascii="Arial" w:hAnsi="Arial" w:cs="Arial"/>
          <w:b/>
          <w:sz w:val="32"/>
          <w:szCs w:val="32"/>
        </w:rPr>
      </w:pPr>
      <w:r>
        <w:rPr>
          <w:rFonts w:ascii="Arial" w:hAnsi="Arial" w:cs="Arial"/>
          <w:b/>
          <w:sz w:val="32"/>
          <w:szCs w:val="32"/>
        </w:rPr>
        <w:br w:type="page"/>
      </w:r>
      <w:r w:rsidR="00EB2238" w:rsidRPr="001A076F">
        <w:rPr>
          <w:rFonts w:ascii="Arial" w:hAnsi="Arial" w:cs="Arial"/>
          <w:b/>
          <w:sz w:val="32"/>
          <w:szCs w:val="32"/>
        </w:rPr>
        <w:lastRenderedPageBreak/>
        <w:t xml:space="preserve">TANDEM </w:t>
      </w:r>
      <w:r w:rsidR="006640FE">
        <w:rPr>
          <w:rFonts w:ascii="Arial" w:hAnsi="Arial" w:cs="Arial"/>
          <w:b/>
          <w:sz w:val="32"/>
          <w:szCs w:val="32"/>
        </w:rPr>
        <w:t xml:space="preserve">- </w:t>
      </w:r>
      <w:r w:rsidR="00EB2238" w:rsidRPr="001A076F">
        <w:rPr>
          <w:rFonts w:ascii="Arial" w:hAnsi="Arial" w:cs="Arial"/>
          <w:b/>
          <w:sz w:val="32"/>
          <w:szCs w:val="32"/>
        </w:rPr>
        <w:t>SITES IN BANDUNG, INDONESIA</w:t>
      </w:r>
    </w:p>
    <w:p w:rsidR="00EB2238" w:rsidRDefault="0017398A" w:rsidP="00EB2238">
      <w:pPr>
        <w:tabs>
          <w:tab w:val="left" w:pos="2490"/>
        </w:tabs>
        <w:rPr>
          <w:b/>
          <w:sz w:val="44"/>
          <w:szCs w:val="44"/>
        </w:rPr>
      </w:pPr>
      <w:r w:rsidRPr="00E540F7">
        <w:rPr>
          <w:b/>
          <w:noProof/>
          <w:sz w:val="44"/>
          <w:szCs w:val="44"/>
        </w:rPr>
        <w:drawing>
          <wp:inline distT="0" distB="0" distL="0" distR="0">
            <wp:extent cx="6191250" cy="427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276725"/>
                    </a:xfrm>
                    <a:prstGeom prst="rect">
                      <a:avLst/>
                    </a:prstGeom>
                    <a:noFill/>
                    <a:ln>
                      <a:noFill/>
                    </a:ln>
                  </pic:spPr>
                </pic:pic>
              </a:graphicData>
            </a:graphic>
          </wp:inline>
        </w:drawing>
      </w:r>
      <w:r w:rsidRPr="00E540F7">
        <w:rPr>
          <w:b/>
          <w:noProof/>
          <w:sz w:val="44"/>
          <w:szCs w:val="44"/>
        </w:rPr>
        <w:drawing>
          <wp:inline distT="0" distB="0" distL="0" distR="0">
            <wp:extent cx="280035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4286250"/>
                    </a:xfrm>
                    <a:prstGeom prst="rect">
                      <a:avLst/>
                    </a:prstGeom>
                    <a:noFill/>
                    <a:ln>
                      <a:noFill/>
                    </a:ln>
                  </pic:spPr>
                </pic:pic>
              </a:graphicData>
            </a:graphic>
          </wp:inline>
        </w:drawing>
      </w:r>
    </w:p>
    <w:p w:rsidR="00315BAB" w:rsidRDefault="00315BAB" w:rsidP="00EB2238">
      <w:pPr>
        <w:tabs>
          <w:tab w:val="left" w:pos="2490"/>
        </w:tabs>
        <w:rPr>
          <w:noProof/>
        </w:rPr>
      </w:pPr>
    </w:p>
    <w:p w:rsidR="00E540F7" w:rsidRDefault="00E540F7" w:rsidP="00315BAB">
      <w:pPr>
        <w:rPr>
          <w:rFonts w:ascii="Arial" w:hAnsi="Arial" w:cs="Arial"/>
          <w:b/>
          <w:noProof/>
          <w:sz w:val="32"/>
          <w:szCs w:val="32"/>
        </w:rPr>
        <w:sectPr w:rsidR="00E540F7" w:rsidSect="00E540F7">
          <w:pgSz w:w="16837" w:h="11905" w:orient="landscape"/>
          <w:pgMar w:top="1440" w:right="1134" w:bottom="1440" w:left="1134" w:header="1440" w:footer="1440" w:gutter="0"/>
          <w:cols w:space="720"/>
          <w:docGrid w:linePitch="272"/>
        </w:sectPr>
      </w:pPr>
    </w:p>
    <w:p w:rsidR="00315BAB" w:rsidRDefault="006640FE" w:rsidP="00315BAB">
      <w:pPr>
        <w:rPr>
          <w:rFonts w:ascii="Arial" w:hAnsi="Arial" w:cs="Arial"/>
          <w:b/>
          <w:sz w:val="32"/>
          <w:szCs w:val="32"/>
        </w:rPr>
      </w:pPr>
      <w:r w:rsidRPr="00CA2988">
        <w:rPr>
          <w:rFonts w:ascii="Arial" w:hAnsi="Arial" w:cs="Arial"/>
          <w:b/>
          <w:noProof/>
          <w:sz w:val="32"/>
          <w:szCs w:val="32"/>
        </w:rPr>
        <w:lastRenderedPageBreak/>
        <w:t>TANDEM - SITES IN LIMA, PERU</w:t>
      </w:r>
      <w:r w:rsidRPr="001A076F">
        <w:rPr>
          <w:noProof/>
          <w:sz w:val="32"/>
          <w:szCs w:val="32"/>
        </w:rPr>
        <w:t xml:space="preserve"> </w:t>
      </w:r>
      <w:r w:rsidR="0017398A" w:rsidRPr="00E540F7">
        <w:rPr>
          <w:noProof/>
          <w:sz w:val="32"/>
          <w:szCs w:val="32"/>
        </w:rPr>
        <w:drawing>
          <wp:inline distT="0" distB="0" distL="0" distR="0">
            <wp:extent cx="5895975" cy="6267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6267450"/>
                    </a:xfrm>
                    <a:prstGeom prst="rect">
                      <a:avLst/>
                    </a:prstGeom>
                    <a:noFill/>
                    <a:ln>
                      <a:noFill/>
                    </a:ln>
                  </pic:spPr>
                </pic:pic>
              </a:graphicData>
            </a:graphic>
          </wp:inline>
        </w:drawing>
      </w:r>
    </w:p>
    <w:p w:rsidR="006640FE" w:rsidRPr="001A076F" w:rsidRDefault="00315BAB" w:rsidP="00315BAB">
      <w:pPr>
        <w:rPr>
          <w:rFonts w:ascii="Arial" w:hAnsi="Arial" w:cs="Arial"/>
          <w:b/>
          <w:sz w:val="32"/>
          <w:szCs w:val="32"/>
        </w:rPr>
      </w:pPr>
      <w:r>
        <w:br w:type="page"/>
      </w:r>
      <w:r w:rsidR="006640FE" w:rsidRPr="001A076F">
        <w:rPr>
          <w:rFonts w:ascii="Arial" w:hAnsi="Arial" w:cs="Arial"/>
          <w:b/>
          <w:sz w:val="32"/>
          <w:szCs w:val="32"/>
        </w:rPr>
        <w:lastRenderedPageBreak/>
        <w:t xml:space="preserve">TANDEM </w:t>
      </w:r>
      <w:r w:rsidR="006640FE">
        <w:rPr>
          <w:rFonts w:ascii="Arial" w:hAnsi="Arial" w:cs="Arial"/>
          <w:b/>
          <w:sz w:val="32"/>
          <w:szCs w:val="32"/>
        </w:rPr>
        <w:t xml:space="preserve">– SITES IN </w:t>
      </w:r>
      <w:r w:rsidR="006640FE" w:rsidRPr="001A076F">
        <w:rPr>
          <w:rFonts w:ascii="Arial" w:hAnsi="Arial" w:cs="Arial"/>
          <w:b/>
          <w:sz w:val="32"/>
          <w:szCs w:val="32"/>
        </w:rPr>
        <w:t xml:space="preserve">CRAIOVA </w:t>
      </w:r>
      <w:r w:rsidR="006640FE">
        <w:rPr>
          <w:rFonts w:ascii="Arial" w:hAnsi="Arial" w:cs="Arial"/>
          <w:b/>
          <w:sz w:val="32"/>
          <w:szCs w:val="32"/>
        </w:rPr>
        <w:t>ROMANIA</w:t>
      </w:r>
    </w:p>
    <w:p w:rsidR="00EB2238" w:rsidRDefault="0017398A" w:rsidP="00EB2238">
      <w:pPr>
        <w:tabs>
          <w:tab w:val="left" w:pos="2490"/>
        </w:tabs>
      </w:pPr>
      <w:r w:rsidRPr="00E540F7">
        <w:rPr>
          <w:noProof/>
        </w:rPr>
        <w:drawing>
          <wp:inline distT="0" distB="0" distL="0" distR="0">
            <wp:extent cx="5667375" cy="678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6781800"/>
                    </a:xfrm>
                    <a:prstGeom prst="rect">
                      <a:avLst/>
                    </a:prstGeom>
                    <a:noFill/>
                    <a:ln>
                      <a:noFill/>
                    </a:ln>
                  </pic:spPr>
                </pic:pic>
              </a:graphicData>
            </a:graphic>
          </wp:inline>
        </w:drawing>
      </w:r>
    </w:p>
    <w:p w:rsidR="00EB2238" w:rsidRPr="001A076F" w:rsidRDefault="00315BAB" w:rsidP="00EB2238">
      <w:pPr>
        <w:pStyle w:val="Heading1"/>
        <w:rPr>
          <w:noProof/>
          <w:sz w:val="32"/>
          <w:szCs w:val="32"/>
        </w:rPr>
      </w:pPr>
      <w:r>
        <w:rPr>
          <w:noProof/>
          <w:sz w:val="32"/>
          <w:szCs w:val="32"/>
        </w:rPr>
        <w:br w:type="page"/>
      </w:r>
      <w:r w:rsidR="00EB2238" w:rsidRPr="001A076F">
        <w:rPr>
          <w:noProof/>
          <w:sz w:val="32"/>
          <w:szCs w:val="32"/>
        </w:rPr>
        <w:lastRenderedPageBreak/>
        <w:t xml:space="preserve">TANDEM </w:t>
      </w:r>
      <w:r w:rsidR="006640FE">
        <w:rPr>
          <w:noProof/>
          <w:sz w:val="32"/>
          <w:szCs w:val="32"/>
        </w:rPr>
        <w:t>- SITES IN STELLENBOSCH, SO</w:t>
      </w:r>
      <w:r w:rsidR="00EB2238" w:rsidRPr="001A076F">
        <w:rPr>
          <w:noProof/>
          <w:sz w:val="32"/>
          <w:szCs w:val="32"/>
        </w:rPr>
        <w:t xml:space="preserve">UTH AFRICA </w:t>
      </w:r>
    </w:p>
    <w:p w:rsidR="00EB2238" w:rsidRPr="001A076F" w:rsidRDefault="0017398A" w:rsidP="00EB2238">
      <w:pPr>
        <w:rPr>
          <w:sz w:val="32"/>
          <w:szCs w:val="32"/>
        </w:rPr>
      </w:pPr>
      <w:r w:rsidRPr="00E540F7">
        <w:rPr>
          <w:noProof/>
          <w:sz w:val="32"/>
          <w:szCs w:val="32"/>
        </w:rPr>
        <w:drawing>
          <wp:inline distT="0" distB="0" distL="0" distR="0">
            <wp:extent cx="571500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6172200"/>
                    </a:xfrm>
                    <a:prstGeom prst="rect">
                      <a:avLst/>
                    </a:prstGeom>
                    <a:noFill/>
                    <a:ln>
                      <a:noFill/>
                    </a:ln>
                  </pic:spPr>
                </pic:pic>
              </a:graphicData>
            </a:graphic>
          </wp:inline>
        </w:drawing>
      </w:r>
    </w:p>
    <w:p w:rsidR="00EB2238" w:rsidRDefault="00EB2238" w:rsidP="00EB2238"/>
    <w:p w:rsidR="0017398A" w:rsidRPr="001A076F" w:rsidRDefault="00315BAB" w:rsidP="0017398A">
      <w:pPr>
        <w:pStyle w:val="Heading1"/>
        <w:rPr>
          <w:sz w:val="32"/>
          <w:szCs w:val="32"/>
        </w:rPr>
      </w:pPr>
      <w:r>
        <w:rPr>
          <w:sz w:val="36"/>
          <w:szCs w:val="36"/>
        </w:rPr>
        <w:br w:type="page"/>
      </w:r>
      <w:bookmarkStart w:id="1" w:name="_Toc481062990"/>
      <w:r w:rsidR="0017398A">
        <w:rPr>
          <w:sz w:val="32"/>
          <w:szCs w:val="32"/>
        </w:rPr>
        <w:lastRenderedPageBreak/>
        <w:t>APPENDIX 2</w:t>
      </w:r>
      <w:r w:rsidR="0017398A" w:rsidRPr="001A076F">
        <w:rPr>
          <w:sz w:val="32"/>
          <w:szCs w:val="32"/>
        </w:rPr>
        <w:t xml:space="preserve"> TANDEM TB diagnosis algorithm</w:t>
      </w:r>
      <w:bookmarkEnd w:id="1"/>
    </w:p>
    <w:p w:rsidR="0017398A" w:rsidRPr="0017398A" w:rsidRDefault="0017398A" w:rsidP="0017398A">
      <w:pPr>
        <w:rPr>
          <w:rFonts w:ascii="Calibri" w:hAnsi="Calibri"/>
          <w:sz w:val="22"/>
          <w:szCs w:val="22"/>
        </w:rPr>
      </w:pPr>
    </w:p>
    <w:tbl>
      <w:tblPr>
        <w:tblW w:w="0" w:type="auto"/>
        <w:jc w:val="center"/>
        <w:tblCellMar>
          <w:left w:w="0" w:type="dxa"/>
          <w:right w:w="0" w:type="dxa"/>
        </w:tblCellMar>
        <w:tblLook w:val="04A0" w:firstRow="1" w:lastRow="0" w:firstColumn="1" w:lastColumn="0" w:noHBand="0" w:noVBand="1"/>
      </w:tblPr>
      <w:tblGrid>
        <w:gridCol w:w="2120"/>
        <w:gridCol w:w="2266"/>
        <w:gridCol w:w="4619"/>
      </w:tblGrid>
      <w:tr w:rsidR="0017398A" w:rsidRPr="0017398A" w:rsidTr="006007DE">
        <w:trPr>
          <w:jc w:val="center"/>
        </w:trPr>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b/>
                <w:bCs/>
                <w:sz w:val="22"/>
                <w:szCs w:val="22"/>
              </w:rPr>
            </w:pPr>
            <w:r w:rsidRPr="0017398A">
              <w:rPr>
                <w:rFonts w:ascii="Calibri" w:hAnsi="Calibri" w:cs="Arial"/>
                <w:b/>
                <w:bCs/>
                <w:sz w:val="22"/>
                <w:szCs w:val="22"/>
              </w:rPr>
              <w:t>Case Definition</w:t>
            </w:r>
          </w:p>
        </w:tc>
        <w:tc>
          <w:tcPr>
            <w:tcW w:w="689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b/>
                <w:bCs/>
                <w:sz w:val="22"/>
                <w:szCs w:val="22"/>
              </w:rPr>
            </w:pPr>
            <w:r w:rsidRPr="0017398A">
              <w:rPr>
                <w:rFonts w:ascii="Calibri" w:hAnsi="Calibri" w:cs="Arial"/>
                <w:b/>
                <w:bCs/>
                <w:sz w:val="22"/>
                <w:szCs w:val="22"/>
              </w:rPr>
              <w:t>Criteria</w:t>
            </w:r>
          </w:p>
        </w:tc>
      </w:tr>
      <w:tr w:rsidR="0017398A" w:rsidRPr="0017398A" w:rsidTr="006007DE">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7398A" w:rsidRPr="0017398A" w:rsidRDefault="0017398A" w:rsidP="006007DE">
            <w:pPr>
              <w:rPr>
                <w:rFonts w:ascii="Calibri" w:hAnsi="Calibri" w:cs="Arial"/>
                <w:sz w:val="22"/>
                <w:szCs w:val="22"/>
              </w:rPr>
            </w:pPr>
            <w:r w:rsidRPr="0017398A">
              <w:rPr>
                <w:rFonts w:ascii="Calibri" w:hAnsi="Calibri" w:cs="Arial"/>
                <w:sz w:val="22"/>
                <w:szCs w:val="22"/>
              </w:rPr>
              <w:t>Definite TB</w:t>
            </w:r>
          </w:p>
          <w:p w:rsidR="0017398A" w:rsidRPr="0017398A" w:rsidRDefault="0017398A" w:rsidP="006007DE">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Culture or Gene Xpert positive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With or without:</w:t>
            </w:r>
          </w:p>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Suggestive TB on X-ray </w:t>
            </w:r>
          </w:p>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Possible TB on X-ray </w:t>
            </w:r>
          </w:p>
          <w:p w:rsidR="0017398A" w:rsidRPr="0017398A" w:rsidRDefault="0017398A" w:rsidP="006007DE">
            <w:pPr>
              <w:rPr>
                <w:rFonts w:ascii="Calibri" w:hAnsi="Calibri" w:cs="Arial"/>
                <w:b/>
                <w:bCs/>
                <w:sz w:val="22"/>
                <w:szCs w:val="22"/>
              </w:rPr>
            </w:pPr>
            <w:r w:rsidRPr="0017398A">
              <w:rPr>
                <w:rFonts w:ascii="Calibri" w:hAnsi="Calibri" w:cs="Arial"/>
                <w:sz w:val="22"/>
                <w:szCs w:val="22"/>
              </w:rPr>
              <w:t>TB symptoms</w:t>
            </w:r>
          </w:p>
        </w:tc>
      </w:tr>
      <w:tr w:rsidR="0017398A" w:rsidRPr="0017398A" w:rsidTr="006007DE">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7398A" w:rsidRPr="0017398A" w:rsidRDefault="0017398A" w:rsidP="006007DE">
            <w:pPr>
              <w:rPr>
                <w:rFonts w:ascii="Calibri" w:hAnsi="Calibri" w:cs="Arial"/>
                <w:sz w:val="22"/>
                <w:szCs w:val="22"/>
              </w:rPr>
            </w:pPr>
            <w:r w:rsidRPr="0017398A">
              <w:rPr>
                <w:rFonts w:ascii="Calibri" w:hAnsi="Calibri" w:cs="Arial"/>
                <w:sz w:val="22"/>
                <w:szCs w:val="22"/>
              </w:rPr>
              <w:t>Probable TB</w:t>
            </w:r>
          </w:p>
          <w:p w:rsidR="0017398A" w:rsidRPr="0017398A" w:rsidRDefault="0017398A" w:rsidP="006007DE">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Smear Positive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And either:</w:t>
            </w:r>
          </w:p>
          <w:p w:rsidR="0017398A" w:rsidRPr="0017398A" w:rsidRDefault="0017398A" w:rsidP="006007DE">
            <w:pPr>
              <w:rPr>
                <w:rFonts w:ascii="Calibri" w:hAnsi="Calibri" w:cs="Arial"/>
                <w:sz w:val="22"/>
                <w:szCs w:val="22"/>
              </w:rPr>
            </w:pPr>
            <w:r w:rsidRPr="0017398A">
              <w:rPr>
                <w:rFonts w:ascii="Calibri" w:hAnsi="Calibri" w:cs="Arial"/>
                <w:sz w:val="22"/>
                <w:szCs w:val="22"/>
              </w:rPr>
              <w:t>Suggestive TB on X-ray</w:t>
            </w:r>
          </w:p>
          <w:p w:rsidR="0017398A" w:rsidRPr="0017398A" w:rsidRDefault="0017398A" w:rsidP="006007DE">
            <w:pPr>
              <w:rPr>
                <w:rFonts w:ascii="Calibri" w:hAnsi="Calibri" w:cs="Arial"/>
                <w:b/>
                <w:bCs/>
                <w:sz w:val="22"/>
                <w:szCs w:val="22"/>
              </w:rPr>
            </w:pPr>
            <w:r w:rsidRPr="0017398A">
              <w:rPr>
                <w:rFonts w:ascii="Calibri" w:hAnsi="Calibri" w:cs="Arial"/>
                <w:sz w:val="22"/>
                <w:szCs w:val="22"/>
              </w:rPr>
              <w:t>Possible TB on X-ray and TB Symptoms</w:t>
            </w:r>
          </w:p>
        </w:tc>
      </w:tr>
      <w:tr w:rsidR="0017398A" w:rsidRPr="0017398A" w:rsidTr="006007DE">
        <w:trPr>
          <w:trHeight w:val="405"/>
          <w:jc w:val="center"/>
        </w:trPr>
        <w:tc>
          <w:tcPr>
            <w:tcW w:w="212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7398A" w:rsidRPr="0017398A" w:rsidRDefault="0017398A" w:rsidP="006007DE">
            <w:pPr>
              <w:rPr>
                <w:rFonts w:ascii="Calibri" w:hAnsi="Calibri" w:cs="Arial"/>
                <w:sz w:val="22"/>
                <w:szCs w:val="22"/>
              </w:rPr>
            </w:pPr>
            <w:r w:rsidRPr="0017398A">
              <w:rPr>
                <w:rFonts w:ascii="Calibri" w:hAnsi="Calibri" w:cs="Arial"/>
                <w:sz w:val="22"/>
                <w:szCs w:val="22"/>
              </w:rPr>
              <w:t>Possible TB</w:t>
            </w:r>
          </w:p>
          <w:p w:rsidR="0017398A" w:rsidRPr="0017398A" w:rsidRDefault="0017398A" w:rsidP="006007DE">
            <w:pPr>
              <w:rPr>
                <w:rFonts w:ascii="Calibri" w:hAnsi="Calibri" w:cs="Arial"/>
                <w:b/>
                <w:bCs/>
                <w:sz w:val="22"/>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7398A" w:rsidRPr="0017398A" w:rsidRDefault="0017398A" w:rsidP="006007DE">
            <w:pPr>
              <w:rPr>
                <w:rFonts w:ascii="Calibri" w:hAnsi="Calibri" w:cs="Arial"/>
                <w:sz w:val="22"/>
                <w:szCs w:val="22"/>
              </w:rPr>
            </w:pPr>
            <w:r w:rsidRPr="0017398A">
              <w:rPr>
                <w:rFonts w:ascii="Calibri" w:hAnsi="Calibri" w:cs="Arial"/>
                <w:sz w:val="22"/>
                <w:szCs w:val="22"/>
              </w:rPr>
              <w:t>Smear Positive</w:t>
            </w:r>
          </w:p>
          <w:p w:rsidR="0017398A" w:rsidRPr="0017398A" w:rsidRDefault="0017398A" w:rsidP="006007DE">
            <w:pPr>
              <w:rPr>
                <w:rFonts w:ascii="Calibri" w:hAnsi="Calibri" w:cs="Arial"/>
                <w:sz w:val="22"/>
                <w:szCs w:val="22"/>
              </w:rPr>
            </w:pP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And either:</w:t>
            </w:r>
          </w:p>
          <w:p w:rsidR="0017398A" w:rsidRPr="0017398A" w:rsidRDefault="0017398A" w:rsidP="006007DE">
            <w:pPr>
              <w:rPr>
                <w:rFonts w:ascii="Calibri" w:hAnsi="Calibri" w:cs="Arial"/>
                <w:sz w:val="22"/>
                <w:szCs w:val="22"/>
              </w:rPr>
            </w:pPr>
            <w:r w:rsidRPr="0017398A">
              <w:rPr>
                <w:rFonts w:ascii="Calibri" w:hAnsi="Calibri" w:cs="Arial"/>
                <w:sz w:val="22"/>
                <w:szCs w:val="22"/>
              </w:rPr>
              <w:t>Possible TB on X-ray</w:t>
            </w:r>
          </w:p>
          <w:p w:rsidR="0017398A" w:rsidRPr="0017398A" w:rsidRDefault="0017398A" w:rsidP="006007DE">
            <w:pPr>
              <w:rPr>
                <w:rFonts w:ascii="Calibri" w:hAnsi="Calibri" w:cs="Arial"/>
                <w:b/>
                <w:bCs/>
                <w:sz w:val="22"/>
                <w:szCs w:val="22"/>
              </w:rPr>
            </w:pPr>
            <w:r w:rsidRPr="0017398A">
              <w:rPr>
                <w:rFonts w:ascii="Calibri" w:hAnsi="Calibri" w:cs="Arial"/>
                <w:sz w:val="22"/>
                <w:szCs w:val="22"/>
              </w:rPr>
              <w:t>TB symptoms</w:t>
            </w:r>
          </w:p>
        </w:tc>
      </w:tr>
      <w:tr w:rsidR="0017398A" w:rsidRPr="0017398A" w:rsidTr="006007DE">
        <w:trPr>
          <w:trHeight w:val="405"/>
          <w:jc w:val="center"/>
        </w:trPr>
        <w:tc>
          <w:tcPr>
            <w:tcW w:w="0" w:type="auto"/>
            <w:vMerge/>
            <w:tcBorders>
              <w:top w:val="nil"/>
              <w:left w:val="single" w:sz="8" w:space="0" w:color="auto"/>
              <w:bottom w:val="single" w:sz="8" w:space="0" w:color="auto"/>
              <w:right w:val="single" w:sz="8" w:space="0" w:color="auto"/>
            </w:tcBorders>
            <w:vAlign w:val="center"/>
            <w:hideMark/>
          </w:tcPr>
          <w:p w:rsidR="0017398A" w:rsidRPr="0017398A" w:rsidRDefault="0017398A" w:rsidP="006007DE">
            <w:pPr>
              <w:rPr>
                <w:rFonts w:ascii="Calibri" w:hAnsi="Calibri" w:cs="Arial"/>
                <w:b/>
                <w:bCs/>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TB Symptoms </w:t>
            </w:r>
          </w:p>
        </w:tc>
        <w:tc>
          <w:tcPr>
            <w:tcW w:w="4626" w:type="dxa"/>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And either:</w:t>
            </w:r>
          </w:p>
          <w:p w:rsidR="0017398A" w:rsidRPr="0017398A" w:rsidRDefault="0017398A" w:rsidP="006007DE">
            <w:pPr>
              <w:rPr>
                <w:rFonts w:ascii="Calibri" w:hAnsi="Calibri" w:cs="Arial"/>
                <w:sz w:val="22"/>
                <w:szCs w:val="22"/>
              </w:rPr>
            </w:pPr>
            <w:r w:rsidRPr="0017398A">
              <w:rPr>
                <w:rFonts w:ascii="Calibri" w:hAnsi="Calibri" w:cs="Arial"/>
                <w:sz w:val="22"/>
                <w:szCs w:val="22"/>
              </w:rPr>
              <w:t xml:space="preserve">Suggestive TB on X-ray </w:t>
            </w:r>
          </w:p>
          <w:p w:rsidR="0017398A" w:rsidRPr="0017398A" w:rsidRDefault="0017398A" w:rsidP="006007DE">
            <w:pPr>
              <w:rPr>
                <w:rFonts w:ascii="Calibri" w:hAnsi="Calibri" w:cs="Arial"/>
                <w:sz w:val="22"/>
                <w:szCs w:val="22"/>
              </w:rPr>
            </w:pPr>
            <w:r w:rsidRPr="0017398A">
              <w:rPr>
                <w:rFonts w:ascii="Calibri" w:hAnsi="Calibri" w:cs="Arial"/>
                <w:sz w:val="22"/>
                <w:szCs w:val="22"/>
              </w:rPr>
              <w:t>Possible TB on X-ray</w:t>
            </w:r>
          </w:p>
        </w:tc>
      </w:tr>
      <w:tr w:rsidR="0017398A" w:rsidRPr="0017398A" w:rsidTr="006007DE">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No TB</w:t>
            </w:r>
          </w:p>
        </w:tc>
        <w:tc>
          <w:tcPr>
            <w:tcW w:w="689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7398A" w:rsidRPr="0017398A" w:rsidRDefault="0017398A" w:rsidP="006007DE">
            <w:pPr>
              <w:rPr>
                <w:rFonts w:ascii="Calibri" w:hAnsi="Calibri" w:cs="Arial"/>
                <w:sz w:val="22"/>
                <w:szCs w:val="22"/>
              </w:rPr>
            </w:pPr>
            <w:r w:rsidRPr="0017398A">
              <w:rPr>
                <w:rFonts w:ascii="Calibri" w:hAnsi="Calibri" w:cs="Arial"/>
                <w:sz w:val="22"/>
                <w:szCs w:val="22"/>
              </w:rPr>
              <w:t>Does not fulfil any of the above criteria</w:t>
            </w:r>
          </w:p>
        </w:tc>
      </w:tr>
    </w:tbl>
    <w:p w:rsidR="0017398A" w:rsidRDefault="0017398A" w:rsidP="0017398A"/>
    <w:p w:rsidR="0017398A" w:rsidRDefault="0017398A" w:rsidP="0017398A"/>
    <w:p w:rsidR="0017398A" w:rsidRPr="0017398A" w:rsidRDefault="0017398A" w:rsidP="0017398A">
      <w:pPr>
        <w:spacing w:line="276" w:lineRule="auto"/>
        <w:jc w:val="both"/>
        <w:rPr>
          <w:rFonts w:ascii="Calibri" w:hAnsi="Calibri" w:cs="Arial"/>
          <w:sz w:val="22"/>
          <w:szCs w:val="22"/>
        </w:rPr>
      </w:pPr>
      <w:r w:rsidRPr="0017398A">
        <w:rPr>
          <w:rFonts w:ascii="Calibri" w:hAnsi="Calibri" w:cs="Arial"/>
          <w:sz w:val="22"/>
          <w:szCs w:val="22"/>
        </w:rPr>
        <w:t xml:space="preserve">In Indonesia and Peru, in order to obtain a positive result using the </w:t>
      </w:r>
      <w:r w:rsidRPr="0017398A">
        <w:rPr>
          <w:rFonts w:ascii="Calibri" w:hAnsi="Calibri" w:cs="Lucida Sans Unicode"/>
          <w:color w:val="403838"/>
          <w:sz w:val="22"/>
          <w:szCs w:val="22"/>
          <w:shd w:val="clear" w:color="auto" w:fill="FFFFFF"/>
        </w:rPr>
        <w:t>microscopic observation drug susceptibility assay</w:t>
      </w:r>
      <w:r w:rsidRPr="0017398A">
        <w:rPr>
          <w:rFonts w:ascii="Calibri" w:hAnsi="Calibri" w:cs="Arial"/>
          <w:sz w:val="22"/>
          <w:szCs w:val="22"/>
        </w:rPr>
        <w:t xml:space="preserve"> (MODS) two colony forming units must be observed. Negative results require no growth. Indeterminate results occur when only one colony forming unit is observed, but is insufficient for bacterial confirmation. Indeterminate results are ignored by the case definition algorithm and are by default treated as negative</w:t>
      </w:r>
      <w:r w:rsidRPr="0017398A">
        <w:rPr>
          <w:rFonts w:ascii="Calibri" w:hAnsi="Calibri" w:cs="Arial"/>
          <w:sz w:val="22"/>
          <w:szCs w:val="22"/>
          <w:vertAlign w:val="superscript"/>
        </w:rPr>
        <w:t>1</w:t>
      </w:r>
      <w:r w:rsidRPr="0017398A">
        <w:rPr>
          <w:rFonts w:ascii="Calibri" w:hAnsi="Calibri" w:cs="Arial"/>
          <w:sz w:val="22"/>
          <w:szCs w:val="22"/>
        </w:rPr>
        <w:t>.</w:t>
      </w:r>
    </w:p>
    <w:p w:rsidR="0017398A" w:rsidRPr="0017398A" w:rsidRDefault="0017398A" w:rsidP="0017398A">
      <w:pPr>
        <w:spacing w:line="276" w:lineRule="auto"/>
        <w:jc w:val="both"/>
        <w:rPr>
          <w:rFonts w:ascii="Calibri" w:hAnsi="Calibri" w:cs="Arial"/>
          <w:sz w:val="22"/>
          <w:szCs w:val="22"/>
        </w:rPr>
      </w:pPr>
    </w:p>
    <w:p w:rsidR="0017398A" w:rsidRPr="0017398A" w:rsidRDefault="0017398A" w:rsidP="0017398A">
      <w:pPr>
        <w:rPr>
          <w:rFonts w:ascii="Calibri" w:hAnsi="Calibri"/>
          <w:sz w:val="22"/>
          <w:szCs w:val="22"/>
        </w:rPr>
      </w:pPr>
    </w:p>
    <w:p w:rsidR="0017398A" w:rsidRPr="0017398A" w:rsidRDefault="0017398A" w:rsidP="0017398A">
      <w:pPr>
        <w:rPr>
          <w:rStyle w:val="element-citation"/>
          <w:rFonts w:ascii="Calibri" w:hAnsi="Calibri"/>
        </w:rPr>
      </w:pPr>
      <w:r w:rsidRPr="0017398A">
        <w:rPr>
          <w:rFonts w:ascii="Calibri" w:hAnsi="Calibri"/>
          <w:vertAlign w:val="superscript"/>
        </w:rPr>
        <w:t>1</w:t>
      </w:r>
      <w:r w:rsidRPr="0017398A">
        <w:rPr>
          <w:rStyle w:val="ref-vol"/>
          <w:rFonts w:ascii="Calibri" w:hAnsi="Calibri"/>
        </w:rPr>
        <w:t xml:space="preserve"> </w:t>
      </w:r>
      <w:r w:rsidRPr="0017398A">
        <w:rPr>
          <w:rStyle w:val="element-citation"/>
          <w:rFonts w:ascii="Calibri" w:hAnsi="Calibri"/>
        </w:rPr>
        <w:t xml:space="preserve">Moore DA, Mendoza D, et al. Microscopic observation drug susceptibility assay, a rapid, reliable diagnostic test for multidrug-resistant tuberculosis suitable for use in resource-poor settings. </w:t>
      </w:r>
      <w:r w:rsidRPr="0017398A">
        <w:rPr>
          <w:rStyle w:val="ref-journal"/>
          <w:rFonts w:ascii="Calibri" w:hAnsi="Calibri"/>
        </w:rPr>
        <w:t xml:space="preserve">J Clin Microbiol. </w:t>
      </w:r>
      <w:r w:rsidRPr="0017398A">
        <w:rPr>
          <w:rStyle w:val="element-citation"/>
          <w:rFonts w:ascii="Calibri" w:hAnsi="Calibri"/>
        </w:rPr>
        <w:t>2004;</w:t>
      </w:r>
      <w:r w:rsidRPr="0017398A">
        <w:rPr>
          <w:rStyle w:val="ref-vol"/>
          <w:rFonts w:ascii="Calibri" w:hAnsi="Calibri"/>
        </w:rPr>
        <w:t>42</w:t>
      </w:r>
      <w:r w:rsidRPr="0017398A">
        <w:rPr>
          <w:rStyle w:val="element-citation"/>
          <w:rFonts w:ascii="Calibri" w:hAnsi="Calibri"/>
        </w:rPr>
        <w:t>:4432–4437.</w:t>
      </w:r>
    </w:p>
    <w:p w:rsidR="00994322" w:rsidRPr="00CA2988" w:rsidRDefault="0017398A" w:rsidP="0017398A">
      <w:pPr>
        <w:pStyle w:val="Heading1"/>
        <w:rPr>
          <w:sz w:val="32"/>
          <w:szCs w:val="32"/>
        </w:rPr>
      </w:pPr>
      <w:r w:rsidRPr="0017398A">
        <w:rPr>
          <w:rStyle w:val="element-citation"/>
          <w:rFonts w:ascii="Calibri" w:hAnsi="Calibri"/>
        </w:rPr>
        <w:br w:type="page"/>
      </w:r>
      <w:r w:rsidR="00EB2238" w:rsidRPr="00CA2988">
        <w:rPr>
          <w:sz w:val="32"/>
          <w:szCs w:val="32"/>
        </w:rPr>
        <w:lastRenderedPageBreak/>
        <w:t>APPENDIX 3</w:t>
      </w:r>
      <w:r w:rsidR="00FD3C99" w:rsidRPr="00CA2988">
        <w:rPr>
          <w:sz w:val="32"/>
          <w:szCs w:val="32"/>
        </w:rPr>
        <w:t>:</w:t>
      </w:r>
      <w:r w:rsidR="007B64B7" w:rsidRPr="00CA2988">
        <w:rPr>
          <w:sz w:val="32"/>
          <w:szCs w:val="32"/>
        </w:rPr>
        <w:t xml:space="preserve"> </w:t>
      </w:r>
      <w:r w:rsidR="00994322" w:rsidRPr="00CA2988">
        <w:rPr>
          <w:sz w:val="32"/>
          <w:szCs w:val="32"/>
        </w:rPr>
        <w:t>Description of published DM risk scores</w:t>
      </w:r>
      <w:bookmarkEnd w:id="0"/>
    </w:p>
    <w:p w:rsidR="00994322" w:rsidRDefault="00994322" w:rsidP="00994322"/>
    <w:p w:rsidR="00994322" w:rsidRDefault="00994322" w:rsidP="00994322">
      <w:pPr>
        <w:spacing w:line="360" w:lineRule="auto"/>
        <w:jc w:val="both"/>
        <w:rPr>
          <w:rFonts w:ascii="Calibri" w:hAnsi="Calibri"/>
          <w:sz w:val="22"/>
          <w:szCs w:val="22"/>
          <w:lang w:eastAsia="en-US"/>
        </w:rPr>
      </w:pPr>
      <w:r w:rsidRPr="00994322">
        <w:rPr>
          <w:rFonts w:ascii="Calibri" w:hAnsi="Calibri"/>
          <w:sz w:val="22"/>
          <w:szCs w:val="22"/>
          <w:lang w:eastAsia="en-US"/>
        </w:rPr>
        <w:t>A recent systematic review of published DM risk scores identified a number of viable diagnostic scores</w:t>
      </w:r>
      <w:r>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&lt;EndNote&gt;&lt;Cite&gt;&lt;Author&gt;Brown&lt;/Author&gt;&lt;Year&gt;2012&lt;/Year&gt;&lt;RecNum&gt;3&lt;/RecNum&gt;&lt;DisplayText&gt;&lt;style face="superscript"&gt;3&lt;/style&gt;&lt;/DisplayText&gt;&lt;record&gt;&lt;rec-number&gt;3&lt;/rec-number&gt;&lt;foreign-keys&gt;&lt;key app="EN" db-id="zdxf00pax9e298eafst59r5irwvs92fwvvtp" timestamp="1462271415"&gt;3&lt;/key&gt;&lt;/foreign-keys&gt;&lt;ref-type name="Journal Article"&gt;17&lt;/ref-type&gt;&lt;contributors&gt;&lt;authors&gt;&lt;author&gt;Brown, Nicola&lt;/author&gt;&lt;author&gt;Critchley, Julia&lt;/author&gt;&lt;author&gt;Bogowicz, Paul&lt;/author&gt;&lt;author&gt;Mayige, Mary&lt;/author&gt;&lt;author&gt;Unwin, Nigel&lt;/author&gt;&lt;/authors&gt;&lt;/contributors&gt;&lt;titles&gt;&lt;title&gt;Risk scores based on self-reported or available clinical data to detect undiagnosed type 2 diabetes: a systematic review&lt;/title&gt;&lt;secondary-title&gt;Diabetes research and clinical practice&lt;/secondary-title&gt;&lt;/titles&gt;&lt;periodical&gt;&lt;full-title&gt;Diabetes research and clinical practice&lt;/full-title&gt;&lt;/periodical&gt;&lt;pages&gt;369-385&lt;/pages&gt;&lt;volume&gt;98&lt;/volume&gt;&lt;number&gt;3&lt;/number&gt;&lt;dates&gt;&lt;year&gt;2012&lt;/year&gt;&lt;/dates&gt;&lt;isbn&gt;0168-8227&lt;/isbn&gt;&lt;urls&gt;&lt;related-urls&gt;&lt;url&gt;http://ac.els-cdn.com/S0168822712003099/1-s2.0-S0168822712003099-main.pdf?_tid=706f9ce0-12a3-11e6-816d-00000aacb362&amp;amp;acdnat=1462440565_916bbd182470bd0ac0e7a7b7fc1cae5d&lt;/url&gt;&lt;/related-urls&gt;&lt;/urls&gt;&lt;/record&gt;&lt;/Cite&gt;&lt;/EndNote&gt;</w:instrText>
      </w:r>
      <w:r>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3</w:t>
      </w:r>
      <w:r>
        <w:rPr>
          <w:rFonts w:ascii="Calibri" w:hAnsi="Calibri"/>
          <w:sz w:val="22"/>
          <w:szCs w:val="22"/>
          <w:lang w:eastAsia="en-US"/>
        </w:rPr>
        <w:fldChar w:fldCharType="end"/>
      </w:r>
      <w:r w:rsidRPr="00994322">
        <w:rPr>
          <w:rFonts w:ascii="Calibri" w:hAnsi="Calibri"/>
          <w:sz w:val="22"/>
          <w:szCs w:val="22"/>
          <w:lang w:eastAsia="en-US"/>
        </w:rPr>
        <w:t>. Two particular scores stood out as having the highest sensitivity for detecting DM with good repeatability in validation studies. The FINDRISC score, developed using the Finnish National Population Register, includes the following variables: age, body mass index (BMI), waist circumference (WC), current blood pressure medication, history of high blood glucose, physical activity, and consumption of fruits and vegetables, and takes values 0-20 with a suggested optimal diagnostic cut-point of ≥9</w:t>
      </w:r>
      <w:r>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&lt;EndNote&gt;&lt;Cite&gt;&lt;Author&gt;Lindström&lt;/Author&gt;&lt;Year&gt;2003&lt;/Year&gt;&lt;RecNum&gt;11&lt;/RecNum&gt;&lt;DisplayText&gt;&lt;style face="superscript"&gt;4&lt;/style&gt;&lt;/DisplayText&gt;&lt;record&gt;&lt;rec-number&gt;11&lt;/rec-number&gt;&lt;foreign-keys&gt;&lt;key app="EN" db-id="zdxf00pax9e298eafst59r5irwvs92fwvvtp" timestamp="1462440161"&gt;11&lt;/key&gt;&lt;/foreign-keys&gt;&lt;ref-type name="Journal Article"&gt;17&lt;/ref-type&gt;&lt;contributors&gt;&lt;authors&gt;&lt;author&gt;Lindström, Jaana&lt;/author&gt;&lt;author&gt;Tuomilehto, Jaakko&lt;/author&gt;&lt;/authors&gt;&lt;/contributors&gt;&lt;titles&gt;&lt;title&gt;The Diabetes Risk Score A practical tool to predict type 2 diabetes risk&lt;/title&gt;&lt;secondary-title&gt;Diabetes care&lt;/secondary-title&gt;&lt;/titles&gt;&lt;periodical&gt;&lt;full-title&gt;Diabetes care&lt;/full-title&gt;&lt;/periodical&gt;&lt;pages&gt;725-731&lt;/pages&gt;&lt;volume&gt;26&lt;/volume&gt;&lt;number&gt;3&lt;/number&gt;&lt;dates&gt;&lt;year&gt;2003&lt;/year&gt;&lt;/dates&gt;&lt;isbn&gt;0149-5992&lt;/isbn&gt;&lt;urls&gt;&lt;related-urls&gt;&lt;url&gt;http://care.diabetesjournals.org/content/26/3/725.full.pdf&lt;/url&gt;&lt;/related-urls&gt;&lt;/urls&gt;&lt;/record&gt;&lt;/Cite&gt;&lt;/EndNote&gt;</w:instrText>
      </w:r>
      <w:r>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4</w:t>
      </w:r>
      <w:r>
        <w:rPr>
          <w:rFonts w:ascii="Calibri" w:hAnsi="Calibri"/>
          <w:sz w:val="22"/>
          <w:szCs w:val="22"/>
          <w:lang w:eastAsia="en-US"/>
        </w:rPr>
        <w:fldChar w:fldCharType="end"/>
      </w:r>
      <w:r w:rsidRPr="00994322">
        <w:rPr>
          <w:rFonts w:ascii="Calibri" w:hAnsi="Calibri"/>
          <w:sz w:val="22"/>
          <w:szCs w:val="22"/>
          <w:lang w:eastAsia="en-US"/>
        </w:rPr>
        <w:t>. The Indian Risk Score, developed on a South Indian Asian population using the National Urban Diabetes Survey (NUDS), includes: age, BMI, WC, family history of DM, and physical activity, and takes values 0-42 with a suggested cut-point of ≥21</w:t>
      </w:r>
      <w:r>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&lt;EndNote&gt;&lt;Cite&gt;&lt;Author&gt;Ramachandran&lt;/Author&gt;&lt;Year&gt;2005&lt;/Year&gt;&lt;RecNum&gt;12&lt;/RecNum&gt;&lt;DisplayText&gt;&lt;style face="superscript"&gt;5&lt;/style&gt;&lt;/DisplayText&gt;&lt;record&gt;&lt;rec-number&gt;12&lt;/rec-number&gt;&lt;foreign-keys&gt;&lt;key app="EN" db-id="zdxf00pax9e298eafst59r5irwvs92fwvvtp" timestamp="1462440204"&gt;12&lt;/key&gt;&lt;/foreign-keys&gt;&lt;ref-type name="Journal Article"&gt;17&lt;/ref-type&gt;&lt;contributors&gt;&lt;authors&gt;&lt;author&gt;Ramachandran, A&lt;/author&gt;&lt;author&gt;Snehalatha, C&lt;/author&gt;&lt;author&gt;Vijay, V&lt;/author&gt;&lt;author&gt;Wareham, NJ&lt;/author&gt;&lt;author&gt;Colagiuri, S&lt;/author&gt;&lt;/authors&gt;&lt;/contributors&gt;&lt;titles&gt;&lt;title&gt;Derivation and validation of diabetes risk score for urban Asian Indians&lt;/title&gt;&lt;secondary-title&gt;Diabetes research and clinical practice&lt;/secondary-title&gt;&lt;/titles&gt;&lt;periodical&gt;&lt;full-title&gt;Diabetes research and clinical practice&lt;/full-title&gt;&lt;/periodical&gt;&lt;pages&gt;63-70&lt;/pages&gt;&lt;volume&gt;70&lt;/volume&gt;&lt;number&gt;1&lt;/number&gt;&lt;dates&gt;&lt;year&gt;2005&lt;/year&gt;&lt;/dates&gt;&lt;isbn&gt;0168-8227&lt;/isbn&gt;&lt;urls&gt;&lt;related-urls&gt;&lt;url&gt;http://ac.els-cdn.com/S0168822705001038/1-s2.0-S0168822705001038-main.pdf?_tid=878e804e-12a3-11e6-931e-00000aab0f6c&amp;amp;acdnat=1462440604_fca938cdf33921ed5d03b84155168ad2&lt;/url&gt;&lt;/related-urls&gt;&lt;/urls&gt;&lt;/record&gt;&lt;/Cite&gt;&lt;/EndNote&gt;</w:instrText>
      </w:r>
      <w:r>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5</w:t>
      </w:r>
      <w:r>
        <w:rPr>
          <w:rFonts w:ascii="Calibri" w:hAnsi="Calibri"/>
          <w:sz w:val="22"/>
          <w:szCs w:val="22"/>
          <w:lang w:eastAsia="en-US"/>
        </w:rPr>
        <w:fldChar w:fldCharType="end"/>
      </w:r>
      <w:r w:rsidRPr="00994322">
        <w:rPr>
          <w:rFonts w:ascii="Calibri" w:hAnsi="Calibri"/>
          <w:sz w:val="22"/>
          <w:szCs w:val="22"/>
          <w:lang w:eastAsia="en-US"/>
        </w:rPr>
        <w:t>. The Oman Diabetes Risk Score, developed using the 1991 National Diabetes Survey of Oman including the following variables: age, WC, sex, BMI, hypertension, and family history of DM, was also selected for demographic diversity and its complimentary set of variables, and takes values 0-25 with a suggested cut-point of ≥10</w:t>
      </w:r>
      <w:r>
        <w:rPr>
          <w:rFonts w:ascii="Calibri" w:hAnsi="Calibri"/>
          <w:sz w:val="22"/>
          <w:szCs w:val="22"/>
          <w:lang w:eastAsia="en-US"/>
        </w:rPr>
        <w:fldChar w:fldCharType="begin"/>
      </w:r>
      <w:r w:rsidR="005A4AEF">
        <w:rPr>
          <w:rFonts w:ascii="Calibri" w:hAnsi="Calibri"/>
          <w:sz w:val="22"/>
          <w:szCs w:val="22"/>
          <w:lang w:eastAsia="en-US"/>
        </w:rPr>
        <w:instrText xml:space="preserve"> ADDIN EN.CITE &lt;EndNote&gt;&lt;Cite&gt;&lt;Author&gt;Al-Lawati&lt;/Author&gt;&lt;Year&gt;2007&lt;/Year&gt;&lt;RecNum&gt;13&lt;/RecNum&gt;&lt;DisplayText&gt;&lt;style face="superscript"&gt;6&lt;/style&gt;&lt;/DisplayText&gt;&lt;record&gt;&lt;rec-number&gt;13&lt;/rec-number&gt;&lt;foreign-keys&gt;&lt;key app="EN" db-id="zdxf00pax9e298eafst59r5irwvs92fwvvtp" timestamp="1462440248"&gt;13&lt;/key&gt;&lt;/foreign-keys&gt;&lt;ref-type name="Journal Article"&gt;17&lt;/ref-type&gt;&lt;contributors&gt;&lt;authors&gt;&lt;author&gt;Al-Lawati, JA&lt;/author&gt;&lt;author&gt;Tuomilehto, J&lt;/author&gt;&lt;/authors&gt;&lt;/contributors&gt;&lt;titles&gt;&lt;title&gt;Diabetes risk score in Oman: a tool to identify prevalent type 2 diabetes among Arabs of the Middle East&lt;/title&gt;&lt;secondary-title&gt;Diabetes research and clinical practice&lt;/secondary-title&gt;&lt;/titles&gt;&lt;periodical&gt;&lt;full-title&gt;Diabetes research and clinical practice&lt;/full-title&gt;&lt;/periodical&gt;&lt;pages&gt;438-444&lt;/pages&gt;&lt;volume&gt;77&lt;/volume&gt;&lt;number&gt;3&lt;/number&gt;&lt;dates&gt;&lt;year&gt;2007&lt;/year&gt;&lt;/dates&gt;&lt;isbn&gt;0168-8227&lt;/isbn&gt;&lt;urls&gt;&lt;related-urls&gt;&lt;url&gt;http://ac.els-cdn.com/S0168822707000514/1-s2.0-S0168822707000514-main.pdf?_tid=7e397cb0-12a3-11e6-b7e8-00000aacb35f&amp;amp;acdnat=1462440588_d58bc3573dd6b87825400616794a8cc6&lt;/url&gt;&lt;/related-urls&gt;&lt;/urls&gt;&lt;/record&gt;&lt;/Cite&gt;&lt;/EndNote&gt;</w:instrText>
      </w:r>
      <w:r>
        <w:rPr>
          <w:rFonts w:ascii="Calibri" w:hAnsi="Calibri"/>
          <w:sz w:val="22"/>
          <w:szCs w:val="22"/>
          <w:lang w:eastAsia="en-US"/>
        </w:rPr>
        <w:fldChar w:fldCharType="separate"/>
      </w:r>
      <w:r w:rsidR="005A4AEF" w:rsidRPr="005A4AEF">
        <w:rPr>
          <w:rFonts w:ascii="Calibri" w:hAnsi="Calibri"/>
          <w:noProof/>
          <w:sz w:val="22"/>
          <w:szCs w:val="22"/>
          <w:vertAlign w:val="superscript"/>
          <w:lang w:eastAsia="en-US"/>
        </w:rPr>
        <w:t>6</w:t>
      </w:r>
      <w:r>
        <w:rPr>
          <w:rFonts w:ascii="Calibri" w:hAnsi="Calibri"/>
          <w:sz w:val="22"/>
          <w:szCs w:val="22"/>
          <w:lang w:eastAsia="en-US"/>
        </w:rPr>
        <w:fldChar w:fldCharType="end"/>
      </w:r>
      <w:r w:rsidRPr="00994322">
        <w:rPr>
          <w:rFonts w:ascii="Calibri" w:hAnsi="Calibri"/>
          <w:sz w:val="22"/>
          <w:szCs w:val="22"/>
          <w:lang w:eastAsia="en-US"/>
        </w:rPr>
        <w:t>.</w:t>
      </w:r>
    </w:p>
    <w:p w:rsidR="00994322" w:rsidRDefault="00994322" w:rsidP="00994322">
      <w:pPr>
        <w:rPr>
          <w:rFonts w:ascii="Calibri" w:hAnsi="Calibri"/>
          <w:sz w:val="22"/>
          <w:szCs w:val="22"/>
          <w:lang w:eastAsia="en-US"/>
        </w:rPr>
      </w:pPr>
    </w:p>
    <w:p w:rsidR="005A4AEF" w:rsidRPr="005A4AEF" w:rsidRDefault="00994322" w:rsidP="005A4AEF">
      <w:pPr>
        <w:pStyle w:val="Heading1"/>
        <w:spacing w:after="0"/>
        <w:jc w:val="center"/>
        <w:rPr>
          <w:rFonts w:ascii="Times New Roman" w:hAnsi="Times New Roman" w:cs="Times New Roman"/>
          <w:noProof/>
        </w:rPr>
      </w:pPr>
      <w:r w:rsidRPr="00994322">
        <w:rPr>
          <w:rFonts w:asciiTheme="minorHAnsi" w:hAnsiTheme="minorHAnsi" w:cs="Times New Roman"/>
          <w:b w:val="0"/>
          <w:bCs w:val="0"/>
          <w:noProof/>
          <w:color w:val="auto"/>
        </w:rPr>
        <w:fldChar w:fldCharType="begin"/>
      </w:r>
      <w:r w:rsidRPr="00994322">
        <w:rPr>
          <w:rFonts w:asciiTheme="minorHAnsi" w:hAnsiTheme="minorHAnsi"/>
        </w:rPr>
        <w:instrText xml:space="preserve"> ADDIN EN.REFLIST </w:instrText>
      </w:r>
      <w:r w:rsidRPr="00994322">
        <w:rPr>
          <w:rFonts w:asciiTheme="minorHAnsi" w:hAnsiTheme="minorHAnsi" w:cs="Times New Roman"/>
          <w:b w:val="0"/>
          <w:bCs w:val="0"/>
          <w:noProof/>
          <w:color w:val="auto"/>
        </w:rPr>
        <w:fldChar w:fldCharType="separate"/>
      </w:r>
    </w:p>
    <w:p w:rsidR="005A4AEF" w:rsidRPr="005A4AEF" w:rsidRDefault="005A4AEF" w:rsidP="005A4AEF">
      <w:pPr>
        <w:pStyle w:val="Heading1"/>
        <w:spacing w:after="0"/>
        <w:jc w:val="center"/>
        <w:rPr>
          <w:rFonts w:ascii="Times New Roman" w:hAnsi="Times New Roman" w:cs="Times New Roman"/>
          <w:noProof/>
        </w:rPr>
      </w:pPr>
    </w:p>
    <w:p w:rsidR="005A4AEF" w:rsidRPr="005A4AEF" w:rsidRDefault="005A4AEF" w:rsidP="005A4AEF">
      <w:pPr>
        <w:pStyle w:val="Heading1"/>
        <w:spacing w:after="0"/>
        <w:jc w:val="center"/>
        <w:rPr>
          <w:rFonts w:ascii="Times New Roman" w:hAnsi="Times New Roman" w:cs="Times New Roman"/>
          <w:noProof/>
        </w:rPr>
      </w:pPr>
    </w:p>
    <w:p w:rsidR="005A4AEF" w:rsidRPr="005A4AEF" w:rsidRDefault="005A4AEF" w:rsidP="005A4AEF">
      <w:pPr>
        <w:pStyle w:val="Heading1"/>
        <w:spacing w:after="0"/>
        <w:jc w:val="center"/>
        <w:rPr>
          <w:rFonts w:ascii="Times New Roman" w:hAnsi="Times New Roman" w:cs="Times New Roman"/>
          <w:noProof/>
        </w:rPr>
      </w:pP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1.</w:t>
      </w:r>
      <w:r>
        <w:rPr>
          <w:rFonts w:ascii="Times New Roman" w:hAnsi="Times New Roman" w:cs="Times New Roman"/>
          <w:noProof/>
        </w:rPr>
        <w:tab/>
        <w:t>WHO. Global Tuberculosis Report 2010. Geneva: World Health Organization,; 2010.</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2.</w:t>
      </w:r>
      <w:r>
        <w:rPr>
          <w:rFonts w:ascii="Times New Roman" w:hAnsi="Times New Roman" w:cs="Times New Roman"/>
          <w:noProof/>
        </w:rPr>
        <w:tab/>
        <w:t>The Union, WHO. Collaborative framework for care and control of tuberculosis and diabetes. Geneva: World Health Organization; 2011.</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3.</w:t>
      </w:r>
      <w:r>
        <w:rPr>
          <w:rFonts w:ascii="Times New Roman" w:hAnsi="Times New Roman" w:cs="Times New Roman"/>
          <w:noProof/>
        </w:rPr>
        <w:tab/>
        <w:t>Brown N, Critchley J, Bogowicz P, Mayige M, Unwin N. Risk scores based on self-reported or available clinical data to detect undiagnosed type 2 diabetes: a systematic review. Diabetes research and clinical practice. 2012; 98(3): 369-85.</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4.</w:t>
      </w:r>
      <w:r>
        <w:rPr>
          <w:rFonts w:ascii="Times New Roman" w:hAnsi="Times New Roman" w:cs="Times New Roman"/>
          <w:noProof/>
        </w:rPr>
        <w:tab/>
        <w:t>Lindström J, Tuomilehto J. The Diabetes Risk Score A practical tool to predict type 2 diabetes risk. Diabetes care. 2003; 26(3): 725-31.</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5.</w:t>
      </w:r>
      <w:r>
        <w:rPr>
          <w:rFonts w:ascii="Times New Roman" w:hAnsi="Times New Roman" w:cs="Times New Roman"/>
          <w:noProof/>
        </w:rPr>
        <w:tab/>
        <w:t>Ramachandran A, Snehalatha C, Vijay V, Wareham N, Colagiuri S. Derivation and validation of diabetes risk score for urban Asian Indians. Diabetes research and clinical practice. 2005; 70(1): 63-70.</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6.</w:t>
      </w:r>
      <w:r>
        <w:rPr>
          <w:rFonts w:ascii="Times New Roman" w:hAnsi="Times New Roman" w:cs="Times New Roman"/>
          <w:noProof/>
        </w:rPr>
        <w:tab/>
        <w:t>Al-Lawati J, Tuomilehto J. Diabetes risk score in Oman: a tool to identify prevalent type 2 diabetes among Arabs of the Middle East. Diabetes research and clinical practice. 2007; 77(3): 438-44.</w:t>
      </w:r>
    </w:p>
    <w:p w:rsidR="005A4AEF" w:rsidRDefault="005A4AEF" w:rsidP="005A4AEF">
      <w:pPr>
        <w:pStyle w:val="Heading1"/>
        <w:spacing w:after="0"/>
        <w:rPr>
          <w:rFonts w:ascii="Times New Roman" w:hAnsi="Times New Roman" w:cs="Times New Roman"/>
          <w:noProof/>
        </w:rPr>
      </w:pPr>
      <w:r>
        <w:rPr>
          <w:rFonts w:ascii="Times New Roman" w:hAnsi="Times New Roman" w:cs="Times New Roman"/>
          <w:noProof/>
        </w:rPr>
        <w:t>7.</w:t>
      </w:r>
      <w:r>
        <w:rPr>
          <w:rFonts w:ascii="Times New Roman" w:hAnsi="Times New Roman" w:cs="Times New Roman"/>
          <w:noProof/>
        </w:rPr>
        <w:tab/>
        <w:t>WHO. Haemoglobin concentrations for the diagnosis of anaemia and assessment of severity. Geneva World Health Organisation; 2011.</w:t>
      </w:r>
    </w:p>
    <w:p w:rsidR="005A4AEF" w:rsidRDefault="005A4AEF" w:rsidP="005A4AEF">
      <w:pPr>
        <w:pStyle w:val="Heading1"/>
        <w:spacing w:after="0"/>
        <w:rPr>
          <w:rFonts w:ascii="Times New Roman" w:hAnsi="Times New Roman" w:cs="Times New Roman"/>
          <w:noProof/>
        </w:rPr>
      </w:pPr>
    </w:p>
    <w:p w:rsidR="006007DE" w:rsidRDefault="00994322" w:rsidP="00A83682">
      <w:pPr>
        <w:pStyle w:val="Heading1"/>
        <w:rPr>
          <w:rFonts w:asciiTheme="minorHAnsi" w:hAnsiTheme="minorHAnsi"/>
        </w:rPr>
      </w:pPr>
      <w:r w:rsidRPr="00994322">
        <w:rPr>
          <w:rFonts w:asciiTheme="minorHAnsi" w:hAnsiTheme="minorHAnsi"/>
        </w:rPr>
        <w:fldChar w:fldCharType="end"/>
      </w:r>
      <w:bookmarkStart w:id="2" w:name="_Toc481062992"/>
    </w:p>
    <w:p w:rsidR="006007DE" w:rsidRDefault="006007DE" w:rsidP="006007DE">
      <w:pPr>
        <w:rPr>
          <w:rFonts w:cs="Arial"/>
          <w:color w:val="000000"/>
        </w:rPr>
      </w:pPr>
      <w:r>
        <w:br w:type="page"/>
      </w:r>
    </w:p>
    <w:p w:rsidR="00F87567" w:rsidRDefault="00F87567" w:rsidP="00A83682">
      <w:pPr>
        <w:pStyle w:val="Heading1"/>
        <w:rPr>
          <w:sz w:val="32"/>
          <w:szCs w:val="32"/>
        </w:rPr>
      </w:pPr>
      <w:r>
        <w:rPr>
          <w:sz w:val="32"/>
          <w:szCs w:val="32"/>
        </w:rPr>
        <w:lastRenderedPageBreak/>
        <w:t>APPENDIX 4</w:t>
      </w:r>
      <w:r w:rsidRPr="00CA2988">
        <w:rPr>
          <w:sz w:val="32"/>
          <w:szCs w:val="32"/>
        </w:rPr>
        <w:t xml:space="preserve">: </w:t>
      </w:r>
      <w:r>
        <w:rPr>
          <w:sz w:val="32"/>
          <w:szCs w:val="32"/>
        </w:rPr>
        <w:t>Sample size calculations</w:t>
      </w:r>
    </w:p>
    <w:p w:rsidR="00F87567" w:rsidRDefault="00F87567" w:rsidP="00F87567"/>
    <w:p w:rsidR="00F87567" w:rsidRPr="00F87567" w:rsidRDefault="00F87567" w:rsidP="0017398A">
      <w:pPr>
        <w:spacing w:line="360" w:lineRule="auto"/>
        <w:rPr>
          <w:rFonts w:ascii="Calibri" w:hAnsi="Calibri" w:cs="Arial"/>
          <w:sz w:val="22"/>
          <w:szCs w:val="22"/>
        </w:rPr>
      </w:pPr>
      <w:r w:rsidRPr="00F87567">
        <w:rPr>
          <w:rFonts w:ascii="Calibri" w:hAnsi="Calibri" w:cs="Arial"/>
          <w:sz w:val="22"/>
          <w:szCs w:val="22"/>
        </w:rPr>
        <w:t xml:space="preserve">Diabetes markers and risk scores </w:t>
      </w:r>
      <w:r w:rsidR="00AE005A">
        <w:rPr>
          <w:rFonts w:ascii="Calibri" w:hAnsi="Calibri" w:cs="Arial"/>
          <w:sz w:val="22"/>
          <w:szCs w:val="22"/>
        </w:rPr>
        <w:t>were</w:t>
      </w:r>
      <w:r w:rsidRPr="00F87567">
        <w:rPr>
          <w:rFonts w:ascii="Calibri" w:hAnsi="Calibri" w:cs="Arial"/>
          <w:sz w:val="22"/>
          <w:szCs w:val="22"/>
        </w:rPr>
        <w:t xml:space="preserve"> piloted for use in TB clinics. We </w:t>
      </w:r>
      <w:r w:rsidR="00AE005A">
        <w:rPr>
          <w:rFonts w:ascii="Calibri" w:hAnsi="Calibri" w:cs="Arial"/>
          <w:sz w:val="22"/>
          <w:szCs w:val="22"/>
        </w:rPr>
        <w:t>expected to be able to estimate</w:t>
      </w:r>
      <w:r w:rsidRPr="00F87567">
        <w:rPr>
          <w:rFonts w:ascii="Calibri" w:hAnsi="Calibri" w:cs="Arial"/>
          <w:sz w:val="22"/>
          <w:szCs w:val="22"/>
        </w:rPr>
        <w:t xml:space="preserve"> site sensitivity and specificity with reasonable precision. If sensitivity (for our combined testing approach) is around 90%, with an estimated undiagnosed DM prevalence of 8%, we would need 27 patients with previously undiagnosed diabetes to estimate this statistic with a precision (95% CI) of +/</w:t>
      </w:r>
      <w:r w:rsidRPr="00F87567">
        <w:rPr>
          <w:rFonts w:ascii="Calibri" w:hAnsi="Calibri" w:cs="Cambria Math"/>
          <w:sz w:val="22"/>
          <w:szCs w:val="22"/>
        </w:rPr>
        <w:t>‐</w:t>
      </w:r>
      <w:r w:rsidRPr="00F87567">
        <w:rPr>
          <w:rFonts w:ascii="Calibri" w:hAnsi="Calibri" w:cs="Arial"/>
          <w:sz w:val="22"/>
          <w:szCs w:val="22"/>
        </w:rPr>
        <w:t xml:space="preserve"> 0.15 at each site (sample size calculation based on exact mid-P method, Fosgate et al 2005). Allowing for patient attrition, we therefore aim to recruit 400 newly diagnosed TB patients per site (expecting 8% or 32 to have undiagnosed diabetes). With four sites taking part, our total sample size will permit regression analysis to investigate heterogeneity by site and a range of patient characteristics (such as age, gender, initial HBA1c levels) that may be associated with test accuracy. We will evaluate the: 1) the risk score, 2) rcg, 3) combinations of risk score then rcg and/or urine glucose and 4) POC HbA1c against laboratory HbA1c. “ </w:t>
      </w:r>
    </w:p>
    <w:p w:rsidR="00F87567" w:rsidRPr="00F87567" w:rsidRDefault="00F87567" w:rsidP="0017398A">
      <w:pPr>
        <w:spacing w:line="360" w:lineRule="auto"/>
        <w:rPr>
          <w:rFonts w:ascii="Calibri" w:hAnsi="Calibri" w:cs="Arial"/>
          <w:sz w:val="22"/>
          <w:szCs w:val="22"/>
        </w:rPr>
      </w:pPr>
    </w:p>
    <w:p w:rsidR="00F87567" w:rsidRPr="00F87567" w:rsidRDefault="00F87567" w:rsidP="0017398A">
      <w:pPr>
        <w:spacing w:line="360" w:lineRule="auto"/>
        <w:rPr>
          <w:rFonts w:ascii="Calibri" w:hAnsi="Calibri" w:cs="Arial"/>
          <w:sz w:val="22"/>
          <w:szCs w:val="22"/>
        </w:rPr>
      </w:pPr>
      <w:r w:rsidRPr="00F87567">
        <w:rPr>
          <w:rFonts w:ascii="Calibri" w:hAnsi="Calibri" w:cs="Arial"/>
          <w:sz w:val="22"/>
          <w:szCs w:val="22"/>
        </w:rPr>
        <w:t xml:space="preserve">As the prevalence of undiagnosed diabetes was slightly lower than initially predicted, we recruited just over 2000 patients (instead of 1600) in total across the 4 sites. </w:t>
      </w:r>
    </w:p>
    <w:p w:rsidR="00F87567" w:rsidRPr="00F87567" w:rsidRDefault="00F87567" w:rsidP="00F87567">
      <w:pPr>
        <w:rPr>
          <w:rFonts w:ascii="Calibri" w:hAnsi="Calibri" w:cs="Arial"/>
          <w:sz w:val="22"/>
          <w:szCs w:val="22"/>
        </w:rPr>
      </w:pPr>
    </w:p>
    <w:p w:rsidR="00F87567" w:rsidRPr="00F87567" w:rsidRDefault="00F87567" w:rsidP="00F87567">
      <w:pPr>
        <w:rPr>
          <w:rFonts w:ascii="Calibri" w:hAnsi="Calibri" w:cs="Arial"/>
          <w:sz w:val="22"/>
          <w:szCs w:val="22"/>
        </w:rPr>
      </w:pPr>
      <w:r w:rsidRPr="00F87567">
        <w:rPr>
          <w:rFonts w:ascii="Calibri" w:hAnsi="Calibri" w:cs="Arial"/>
          <w:sz w:val="22"/>
          <w:szCs w:val="22"/>
        </w:rPr>
        <w:t>Fosgate, Geoffrey. (2005). Modified exact sample size for a binomial proportion with special emphasis on diagnostic test parameter estimation. Statistics in medicine. 24. 2857-66. 10.1002/sim.2146.</w:t>
      </w:r>
    </w:p>
    <w:p w:rsidR="00F87567" w:rsidRPr="00F87567" w:rsidRDefault="00F87567" w:rsidP="00F87567">
      <w:pPr>
        <w:rPr>
          <w:rFonts w:ascii="Calibri" w:hAnsi="Calibri" w:cs="Arial"/>
          <w:sz w:val="22"/>
          <w:szCs w:val="22"/>
        </w:rPr>
      </w:pPr>
    </w:p>
    <w:p w:rsidR="000A663B" w:rsidRPr="00CA2988" w:rsidRDefault="00F87567" w:rsidP="00A83682">
      <w:pPr>
        <w:pStyle w:val="Heading1"/>
        <w:rPr>
          <w:sz w:val="32"/>
          <w:szCs w:val="32"/>
        </w:rPr>
      </w:pPr>
      <w:r w:rsidRPr="00F87567">
        <w:rPr>
          <w:rFonts w:ascii="Calibri" w:hAnsi="Calibri"/>
          <w:sz w:val="22"/>
          <w:szCs w:val="22"/>
        </w:rPr>
        <w:br w:type="page"/>
      </w:r>
      <w:r w:rsidR="00C37617">
        <w:rPr>
          <w:sz w:val="32"/>
          <w:szCs w:val="32"/>
        </w:rPr>
        <w:lastRenderedPageBreak/>
        <w:t>APPENDIX 5</w:t>
      </w:r>
      <w:r w:rsidR="00FD3C99" w:rsidRPr="00CA2988">
        <w:rPr>
          <w:sz w:val="32"/>
          <w:szCs w:val="32"/>
        </w:rPr>
        <w:t>:</w:t>
      </w:r>
      <w:r w:rsidR="00A83682" w:rsidRPr="00CA2988">
        <w:rPr>
          <w:sz w:val="32"/>
          <w:szCs w:val="32"/>
        </w:rPr>
        <w:t xml:space="preserve"> Univariate DM probability curves</w:t>
      </w:r>
      <w:bookmarkEnd w:id="2"/>
    </w:p>
    <w:p w:rsidR="000A663B" w:rsidRDefault="000A663B" w:rsidP="000A663B">
      <w:pPr>
        <w:pStyle w:val="EndNoteBibliography"/>
        <w:ind w:left="720" w:hanging="720"/>
        <w:jc w:val="left"/>
        <w:rPr>
          <w:rFonts w:asciiTheme="minorHAnsi" w:hAnsiTheme="minorHAnsi"/>
        </w:rPr>
      </w:pPr>
    </w:p>
    <w:p w:rsidR="00A83682" w:rsidRDefault="00A83682" w:rsidP="000A663B">
      <w:pPr>
        <w:pStyle w:val="EndNoteBibliography"/>
        <w:ind w:left="720" w:hanging="720"/>
        <w:jc w:val="left"/>
        <w:rPr>
          <w:rFonts w:ascii="Arial" w:hAnsi="Arial" w:cs="Arial"/>
          <w:b/>
        </w:rPr>
      </w:pPr>
      <w:r>
        <w:rPr>
          <w:rFonts w:ascii="Arial" w:hAnsi="Arial" w:cs="Arial"/>
          <w:b/>
        </w:rPr>
        <w:t>DM predicted</w:t>
      </w:r>
      <w:r w:rsidRPr="00A83682">
        <w:rPr>
          <w:rFonts w:ascii="Arial" w:hAnsi="Arial" w:cs="Arial"/>
          <w:b/>
        </w:rPr>
        <w:t xml:space="preserve"> probability </w:t>
      </w:r>
      <w:r>
        <w:rPr>
          <w:rFonts w:ascii="Arial" w:hAnsi="Arial" w:cs="Arial"/>
          <w:b/>
        </w:rPr>
        <w:t>curve</w:t>
      </w:r>
      <w:r w:rsidRPr="00A83682">
        <w:rPr>
          <w:rFonts w:ascii="Arial" w:hAnsi="Arial" w:cs="Arial"/>
          <w:b/>
        </w:rPr>
        <w:t xml:space="preserve"> by age, with 95% CI</w:t>
      </w:r>
    </w:p>
    <w:p w:rsidR="00A83682" w:rsidRDefault="00C55384" w:rsidP="00A83682">
      <w:pPr>
        <w:pStyle w:val="EndNoteBibliography"/>
        <w:ind w:left="720" w:hanging="720"/>
        <w:jc w:val="left"/>
        <w:rPr>
          <w:rFonts w:ascii="Calibri" w:hAnsi="Calibri"/>
          <w:b/>
          <w:sz w:val="22"/>
          <w:szCs w:val="22"/>
        </w:rPr>
      </w:pPr>
      <w:r>
        <w:drawing>
          <wp:inline distT="0" distB="0" distL="0" distR="0" wp14:anchorId="4BB801B2" wp14:editId="60DAC5F1">
            <wp:extent cx="5486411" cy="36576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11" cy="3657607"/>
                    </a:xfrm>
                    <a:prstGeom prst="rect">
                      <a:avLst/>
                    </a:prstGeom>
                  </pic:spPr>
                </pic:pic>
              </a:graphicData>
            </a:graphic>
          </wp:inline>
        </w:drawing>
      </w:r>
    </w:p>
    <w:p w:rsidR="0023261F" w:rsidRPr="00BD1F9C" w:rsidRDefault="00BD1F9C" w:rsidP="00A83682">
      <w:pPr>
        <w:pStyle w:val="EndNoteBibliography"/>
        <w:ind w:left="720" w:hanging="720"/>
        <w:jc w:val="left"/>
        <w:rPr>
          <w:rFonts w:asciiTheme="minorHAnsi" w:hAnsiTheme="minorHAnsi"/>
        </w:rPr>
      </w:pPr>
      <w:r w:rsidRPr="00BD1F9C">
        <w:rPr>
          <w:rFonts w:asciiTheme="minorHAnsi" w:hAnsiTheme="minorHAnsi"/>
        </w:rPr>
        <w:t xml:space="preserve">Predicted </w:t>
      </w:r>
      <w:r w:rsidR="004278B5">
        <w:rPr>
          <w:rFonts w:asciiTheme="minorHAnsi" w:hAnsiTheme="minorHAnsi"/>
        </w:rPr>
        <w:t>probability</w:t>
      </w:r>
      <w:r>
        <w:rPr>
          <w:rFonts w:asciiTheme="minorHAnsi" w:hAnsiTheme="minorHAnsi"/>
        </w:rPr>
        <w:t xml:space="preserve"> of DM from the model: logit(p) = β</w:t>
      </w:r>
      <w:r>
        <w:rPr>
          <w:rFonts w:asciiTheme="minorHAnsi" w:hAnsiTheme="minorHAnsi"/>
          <w:vertAlign w:val="subscript"/>
        </w:rPr>
        <w:t xml:space="preserve">0 </w:t>
      </w:r>
      <w:r>
        <w:rPr>
          <w:rFonts w:asciiTheme="minorHAnsi" w:hAnsiTheme="minorHAnsi"/>
        </w:rPr>
        <w:t>+ β</w:t>
      </w:r>
      <w:r>
        <w:rPr>
          <w:rFonts w:asciiTheme="minorHAnsi" w:hAnsiTheme="minorHAnsi"/>
          <w:vertAlign w:val="subscript"/>
        </w:rPr>
        <w:t>1</w:t>
      </w:r>
      <w:r>
        <w:rPr>
          <w:rFonts w:asciiTheme="minorHAnsi" w:hAnsiTheme="minorHAnsi"/>
        </w:rPr>
        <w:t xml:space="preserve"> Age</w:t>
      </w:r>
      <w:r>
        <w:rPr>
          <w:rFonts w:asciiTheme="minorHAnsi" w:hAnsiTheme="minorHAnsi"/>
          <w:vertAlign w:val="superscript"/>
        </w:rPr>
        <w:t>2</w:t>
      </w:r>
      <w:r>
        <w:rPr>
          <w:rFonts w:asciiTheme="minorHAnsi" w:hAnsiTheme="minorHAnsi"/>
        </w:rPr>
        <w:t xml:space="preserve"> + β</w:t>
      </w:r>
      <w:r>
        <w:rPr>
          <w:rFonts w:asciiTheme="minorHAnsi" w:hAnsiTheme="minorHAnsi"/>
          <w:vertAlign w:val="subscript"/>
        </w:rPr>
        <w:t>2</w:t>
      </w:r>
      <w:r>
        <w:rPr>
          <w:rFonts w:asciiTheme="minorHAnsi" w:hAnsiTheme="minorHAnsi"/>
        </w:rPr>
        <w:t xml:space="preserve"> Age</w:t>
      </w:r>
      <w:r>
        <w:rPr>
          <w:rFonts w:asciiTheme="minorHAnsi" w:hAnsiTheme="minorHAnsi"/>
          <w:vertAlign w:val="superscript"/>
        </w:rPr>
        <w:t>2</w:t>
      </w:r>
      <w:r>
        <w:rPr>
          <w:rFonts w:asciiTheme="minorHAnsi" w:hAnsiTheme="minorHAnsi"/>
        </w:rPr>
        <w:t xml:space="preserve"> log(Age)</w:t>
      </w:r>
    </w:p>
    <w:p w:rsidR="000A663B" w:rsidRPr="00315BAB" w:rsidRDefault="000A663B" w:rsidP="000A663B">
      <w:pPr>
        <w:pStyle w:val="EndNoteBibliography"/>
        <w:ind w:left="720" w:hanging="720"/>
        <w:jc w:val="left"/>
        <w:rPr>
          <w:rFonts w:asciiTheme="minorHAnsi" w:hAnsiTheme="minorHAnsi"/>
          <w:sz w:val="10"/>
          <w:szCs w:val="10"/>
        </w:rPr>
      </w:pPr>
    </w:p>
    <w:p w:rsidR="00A83682" w:rsidRDefault="00A83682" w:rsidP="00A83682">
      <w:pPr>
        <w:pStyle w:val="EndNoteBibliography"/>
        <w:ind w:left="720" w:hanging="720"/>
        <w:jc w:val="left"/>
        <w:rPr>
          <w:rFonts w:ascii="Arial" w:hAnsi="Arial" w:cs="Arial"/>
          <w:b/>
        </w:rPr>
      </w:pPr>
      <w:r w:rsidRPr="00A83682">
        <w:rPr>
          <w:rFonts w:ascii="Arial" w:hAnsi="Arial" w:cs="Arial"/>
          <w:b/>
        </w:rPr>
        <w:t>DM</w:t>
      </w:r>
      <w:r>
        <w:rPr>
          <w:rFonts w:ascii="Arial" w:hAnsi="Arial" w:cs="Arial"/>
          <w:b/>
        </w:rPr>
        <w:t xml:space="preserve"> predicted probability curve</w:t>
      </w:r>
      <w:r w:rsidRPr="00A83682">
        <w:rPr>
          <w:rFonts w:ascii="Arial" w:hAnsi="Arial" w:cs="Arial"/>
          <w:b/>
        </w:rPr>
        <w:t xml:space="preserve"> by </w:t>
      </w:r>
      <w:r>
        <w:rPr>
          <w:rFonts w:ascii="Arial" w:hAnsi="Arial" w:cs="Arial"/>
          <w:b/>
        </w:rPr>
        <w:t>RPG</w:t>
      </w:r>
      <w:r w:rsidRPr="00A83682">
        <w:rPr>
          <w:rFonts w:ascii="Arial" w:hAnsi="Arial" w:cs="Arial"/>
          <w:b/>
        </w:rPr>
        <w:t>, with 95% CI</w:t>
      </w:r>
    </w:p>
    <w:p w:rsidR="00A83682" w:rsidRDefault="00C55384" w:rsidP="00A83682">
      <w:pPr>
        <w:pStyle w:val="EndNoteBibliography"/>
        <w:ind w:left="720" w:hanging="720"/>
        <w:jc w:val="left"/>
        <w:rPr>
          <w:rFonts w:ascii="Calibri" w:hAnsi="Calibri"/>
        </w:rPr>
      </w:pPr>
      <w:r>
        <w:drawing>
          <wp:inline distT="0" distB="0" distL="0" distR="0" wp14:anchorId="4085A2B7" wp14:editId="222C17E6">
            <wp:extent cx="5486411" cy="3657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11" cy="3657607"/>
                    </a:xfrm>
                    <a:prstGeom prst="rect">
                      <a:avLst/>
                    </a:prstGeom>
                  </pic:spPr>
                </pic:pic>
              </a:graphicData>
            </a:graphic>
          </wp:inline>
        </w:drawing>
      </w:r>
    </w:p>
    <w:p w:rsidR="0023261F" w:rsidRPr="00BD1F9C" w:rsidRDefault="004278B5" w:rsidP="00A83682">
      <w:pPr>
        <w:pStyle w:val="EndNoteBibliography"/>
        <w:ind w:left="720" w:hanging="720"/>
        <w:jc w:val="left"/>
        <w:rPr>
          <w:rFonts w:ascii="Calibri" w:hAnsi="Calibri"/>
          <w:vertAlign w:val="superscript"/>
        </w:rPr>
      </w:pPr>
      <w:r>
        <w:rPr>
          <w:rFonts w:ascii="Calibri" w:hAnsi="Calibri"/>
        </w:rPr>
        <w:t>Predicted probability of DM</w:t>
      </w:r>
      <w:r w:rsidR="00BD1F9C">
        <w:rPr>
          <w:rFonts w:ascii="Calibri" w:hAnsi="Calibri"/>
        </w:rPr>
        <w:t xml:space="preserve"> from the model: logit(p) = β</w:t>
      </w:r>
      <w:r w:rsidR="00BD1F9C">
        <w:rPr>
          <w:rFonts w:ascii="Calibri" w:hAnsi="Calibri"/>
          <w:vertAlign w:val="subscript"/>
        </w:rPr>
        <w:t>0</w:t>
      </w:r>
      <w:r w:rsidR="00BD1F9C">
        <w:rPr>
          <w:rFonts w:ascii="Calibri" w:hAnsi="Calibri"/>
        </w:rPr>
        <w:t xml:space="preserve"> + β</w:t>
      </w:r>
      <w:r w:rsidR="00BD1F9C">
        <w:rPr>
          <w:rFonts w:ascii="Calibri" w:hAnsi="Calibri"/>
          <w:vertAlign w:val="subscript"/>
        </w:rPr>
        <w:t>1</w:t>
      </w:r>
      <w:r w:rsidR="00BD1F9C">
        <w:rPr>
          <w:rFonts w:ascii="Calibri" w:hAnsi="Calibri"/>
        </w:rPr>
        <w:t xml:space="preserve"> RPG</w:t>
      </w:r>
      <w:r w:rsidR="00BD1F9C">
        <w:rPr>
          <w:rFonts w:ascii="Calibri" w:hAnsi="Calibri"/>
          <w:vertAlign w:val="superscript"/>
        </w:rPr>
        <w:t>2</w:t>
      </w:r>
    </w:p>
    <w:p w:rsidR="00A83682" w:rsidRDefault="00A83682" w:rsidP="00A83682">
      <w:pPr>
        <w:pStyle w:val="EndNoteBibliography"/>
        <w:ind w:left="720" w:hanging="720"/>
        <w:jc w:val="left"/>
        <w:rPr>
          <w:rFonts w:ascii="Arial" w:hAnsi="Arial" w:cs="Arial"/>
          <w:b/>
        </w:rPr>
      </w:pPr>
      <w:r w:rsidRPr="00A83682">
        <w:rPr>
          <w:rFonts w:ascii="Arial" w:hAnsi="Arial" w:cs="Arial"/>
          <w:b/>
        </w:rPr>
        <w:lastRenderedPageBreak/>
        <w:t>DM</w:t>
      </w:r>
      <w:r>
        <w:rPr>
          <w:rFonts w:ascii="Arial" w:hAnsi="Arial" w:cs="Arial"/>
          <w:b/>
        </w:rPr>
        <w:t xml:space="preserve"> predicted probability curve</w:t>
      </w:r>
      <w:r w:rsidRPr="00A83682">
        <w:rPr>
          <w:rFonts w:ascii="Arial" w:hAnsi="Arial" w:cs="Arial"/>
          <w:b/>
        </w:rPr>
        <w:t xml:space="preserve"> by </w:t>
      </w:r>
      <w:r>
        <w:rPr>
          <w:rFonts w:ascii="Arial" w:hAnsi="Arial" w:cs="Arial"/>
          <w:b/>
        </w:rPr>
        <w:t>POC HbA1c</w:t>
      </w:r>
      <w:r w:rsidRPr="00A83682">
        <w:rPr>
          <w:rFonts w:ascii="Arial" w:hAnsi="Arial" w:cs="Arial"/>
          <w:b/>
        </w:rPr>
        <w:t>, with 95% CI</w:t>
      </w:r>
    </w:p>
    <w:p w:rsidR="00A83682" w:rsidRDefault="00C55384" w:rsidP="00A83682">
      <w:r>
        <w:rPr>
          <w:noProof/>
        </w:rPr>
        <w:drawing>
          <wp:inline distT="0" distB="0" distL="0" distR="0" wp14:anchorId="64489942" wp14:editId="54853324">
            <wp:extent cx="5486411" cy="36576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11" cy="3657607"/>
                    </a:xfrm>
                    <a:prstGeom prst="rect">
                      <a:avLst/>
                    </a:prstGeom>
                  </pic:spPr>
                </pic:pic>
              </a:graphicData>
            </a:graphic>
          </wp:inline>
        </w:drawing>
      </w:r>
    </w:p>
    <w:p w:rsidR="00BD1F9C" w:rsidRPr="00BD1F9C" w:rsidRDefault="004278B5" w:rsidP="00BD1F9C">
      <w:pPr>
        <w:pStyle w:val="EndNoteBibliography"/>
        <w:ind w:left="720" w:hanging="720"/>
        <w:jc w:val="left"/>
        <w:rPr>
          <w:rFonts w:ascii="Calibri" w:hAnsi="Calibri"/>
          <w:vertAlign w:val="superscript"/>
        </w:rPr>
      </w:pPr>
      <w:r>
        <w:rPr>
          <w:rFonts w:ascii="Calibri" w:hAnsi="Calibri"/>
        </w:rPr>
        <w:t>Predicted probability of DM</w:t>
      </w:r>
      <w:r w:rsidR="00BD1F9C">
        <w:rPr>
          <w:rFonts w:ascii="Calibri" w:hAnsi="Calibri"/>
        </w:rPr>
        <w:t xml:space="preserve"> from the model: logit(p) = β</w:t>
      </w:r>
      <w:r w:rsidR="00BD1F9C">
        <w:rPr>
          <w:rFonts w:ascii="Calibri" w:hAnsi="Calibri"/>
          <w:vertAlign w:val="subscript"/>
        </w:rPr>
        <w:t>0</w:t>
      </w:r>
      <w:r w:rsidR="00BD1F9C">
        <w:rPr>
          <w:rFonts w:ascii="Calibri" w:hAnsi="Calibri"/>
        </w:rPr>
        <w:t xml:space="preserve"> + β</w:t>
      </w:r>
      <w:r w:rsidR="00BD1F9C">
        <w:rPr>
          <w:rFonts w:ascii="Calibri" w:hAnsi="Calibri"/>
          <w:vertAlign w:val="subscript"/>
        </w:rPr>
        <w:t>1</w:t>
      </w:r>
      <w:r w:rsidR="00BD1F9C">
        <w:rPr>
          <w:rFonts w:ascii="Calibri" w:hAnsi="Calibri"/>
        </w:rPr>
        <w:t xml:space="preserve"> log(POc HbA1c)</w:t>
      </w:r>
    </w:p>
    <w:p w:rsidR="00BD1F9C" w:rsidRDefault="00BD1F9C" w:rsidP="00A83682"/>
    <w:p w:rsidR="00A83682" w:rsidRPr="00A83682" w:rsidRDefault="00A83682" w:rsidP="00A83682"/>
    <w:p w:rsidR="00A83682" w:rsidRPr="00A83682" w:rsidRDefault="00A83682" w:rsidP="00A83682">
      <w:pPr>
        <w:sectPr w:rsidR="00A83682" w:rsidRPr="00A83682" w:rsidSect="007B64B7">
          <w:pgSz w:w="11905" w:h="16837"/>
          <w:pgMar w:top="1134" w:right="1440" w:bottom="1134" w:left="1440" w:header="1440" w:footer="1440" w:gutter="0"/>
          <w:cols w:space="720"/>
          <w:docGrid w:linePitch="272"/>
        </w:sectPr>
      </w:pPr>
    </w:p>
    <w:p w:rsidR="00F87567" w:rsidRPr="00F87567" w:rsidRDefault="00EB2238" w:rsidP="00F87567">
      <w:pPr>
        <w:pStyle w:val="Heading1"/>
        <w:rPr>
          <w:sz w:val="32"/>
          <w:szCs w:val="32"/>
        </w:rPr>
      </w:pPr>
      <w:bookmarkStart w:id="3" w:name="_Toc481062993"/>
      <w:r w:rsidRPr="00F87567">
        <w:rPr>
          <w:bCs w:val="0"/>
          <w:sz w:val="32"/>
          <w:szCs w:val="32"/>
        </w:rPr>
        <w:lastRenderedPageBreak/>
        <w:t xml:space="preserve">APPENDIX </w:t>
      </w:r>
      <w:r w:rsidR="00F87567" w:rsidRPr="00F87567">
        <w:rPr>
          <w:bCs w:val="0"/>
          <w:sz w:val="32"/>
          <w:szCs w:val="32"/>
        </w:rPr>
        <w:t>6</w:t>
      </w:r>
      <w:r w:rsidR="00615D2A">
        <w:rPr>
          <w:bCs w:val="0"/>
          <w:sz w:val="32"/>
          <w:szCs w:val="32"/>
        </w:rPr>
        <w:t>a</w:t>
      </w:r>
      <w:r w:rsidRPr="00F87567">
        <w:rPr>
          <w:b w:val="0"/>
          <w:bCs w:val="0"/>
          <w:sz w:val="32"/>
          <w:szCs w:val="32"/>
        </w:rPr>
        <w:t xml:space="preserve"> </w:t>
      </w:r>
      <w:r w:rsidR="00F87567" w:rsidRPr="00F87567">
        <w:rPr>
          <w:sz w:val="32"/>
          <w:szCs w:val="32"/>
        </w:rPr>
        <w:t>DM diagnostics - Area under the ROC curve and sensitivity and specificity estimates in INDONESIA</w:t>
      </w:r>
    </w:p>
    <w:p w:rsidR="00F87567" w:rsidRPr="00F87567" w:rsidRDefault="00F87567" w:rsidP="00F87567">
      <w:pPr>
        <w:adjustRightInd w:val="0"/>
        <w:spacing w:before="10" w:after="10"/>
        <w:rPr>
          <w:rFonts w:ascii="Arial" w:hAnsi="Arial" w:cs="Arial"/>
          <w:b/>
          <w:bCs/>
          <w:color w:val="000000"/>
        </w:rPr>
      </w:pPr>
      <w:r w:rsidRPr="00F87567">
        <w:rPr>
          <w:rFonts w:ascii="Arial" w:hAnsi="Arial" w:cs="Arial"/>
          <w:b/>
          <w:bCs/>
          <w:color w:val="000000"/>
        </w:rPr>
        <w:t>New DM cases defined using laboratory HbA1c ≥6.5%</w:t>
      </w:r>
    </w:p>
    <w:p w:rsidR="00F87567" w:rsidRPr="00F87567" w:rsidRDefault="00F87567" w:rsidP="00F87567">
      <w:pPr>
        <w:adjustRightInd w:val="0"/>
        <w:spacing w:before="10" w:after="10"/>
        <w:rPr>
          <w:rFonts w:ascii="Arial" w:hAnsi="Arial" w:cs="Arial"/>
          <w:b/>
          <w:bCs/>
          <w:color w:val="000000"/>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7152D1" w:rsidRPr="007152D1"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Specificity (%)</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RPG/POC HbA1c Combination</w:t>
            </w:r>
            <w:r w:rsidRPr="007152D1">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(80.3 - 99.3)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91.1 (88.5 - 93.2)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(72.5 - 96.7)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96.0 (94.2 - 97.4)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0.98 (0.96 - 1.00)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(89.4 - 100.0)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52.6 (48.6 - 56.7)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(89.4 - 100.0)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64.2 (60.2 - 68.0)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87.9 (71.8 - 96.6)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88.0 (85.1 - 90.4)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Full TANDEM Score</w:t>
            </w:r>
            <w:r w:rsidRPr="007152D1">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0.97 (0.94 - 1.00)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97.0 (84.2 - 99.9)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61.2 (57.2 - 65.1)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93.9 (79.8 - 99.3)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88.8 (86.0 - 91.2)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0.95 (0.91 - 0.99)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97.1 (84.7 - 99.9)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42.3 (38.3 - 46.3)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(72.5 - 96.7)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88.0 (85.1 - 90.4)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11.1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67.6 (49.5 - 82.6)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99.3 (98.3 - 99.8)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Restricted TANDEM Score</w:t>
            </w:r>
            <w:r w:rsidRPr="007152D1">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0.94 (0.89 - 1.00)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(80.3 - 99.3)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60.8 (56.8 - 64.7)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(80.3 - 99.3)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83.1 (79.9 - 86.0)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FBG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4.8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0.89 (0.77 - 1.00)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81.8 (48.2 - 97.7)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60.6 (50.7 - 69.8)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5.2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81.8 (48.2 - 97.7)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82.6 (74.1 - 89.2)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7.0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54.5 (23.4 - 83.3)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97.2 (92.2 - 99.4)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Age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0.78 (0.70 - 0.85)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85.3 (68.9 - 95.0)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59.2 (55.2 - 63.1)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76.5 (58.8 - 89.3)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74.3 (70.7 - 77.7)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0.75 (0.66 - 0.83)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38.2 (22.2 - 56.4)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89.1 (86.4 - 91.5)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85.3 (68.9 - 95.0)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58.9 (54.9 - 62.8)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0.74 (0.65 - 0.83)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(72.5 - 96.7)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43.7 (39.8 - 47.8)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67.6 (49.5 - 82.6)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67.6 (63.8 - 71.3)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Findrisc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0.73 (0.64 - 0.83)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73.5 (55.6 - 87.1)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64.8 (60.8 - 68.5)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20.6 (8.7 - 37.9)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98.0 (96.6 - 99.0)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Urine Dipstick</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trace</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0.67 (0.59 - 0.76)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35.3 (19.7 - 53.5)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99.5 (98.6 - 99.9)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0.65 (0.56 - 0.74)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97.1 (84.7 - 99.9)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22.3 (19.1 - 25.9)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0.89</w:t>
            </w:r>
            <w:r w:rsidRPr="007152D1">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44.1 (27.2 - 62.1)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78.3 (74.8 - 81.5)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0.9</w:t>
            </w:r>
            <w:r w:rsidRPr="007152D1">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47.1 (29.8 - 64.9)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69.8 (66.0 - 73.4)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0.63 (0.53 - 0.73)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20.6 (8.7 - 37.9)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97.9 (96.4 - 98.9)</w:t>
            </w:r>
          </w:p>
        </w:tc>
      </w:tr>
      <w:tr w:rsidR="007152D1" w:rsidRPr="007152D1"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30</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5.9 (0.7 - 19.7)</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99.8 (99.1 - 100.0)</w:t>
            </w:r>
          </w:p>
        </w:tc>
      </w:tr>
    </w:tbl>
    <w:p w:rsidR="00F87567" w:rsidRPr="00F87567" w:rsidRDefault="00F87567" w:rsidP="00F87567">
      <w:pPr>
        <w:adjustRightInd w:val="0"/>
        <w:rPr>
          <w:rFonts w:ascii="Arial" w:hAnsi="Arial" w:cs="Arial"/>
          <w:color w:val="000000"/>
          <w:sz w:val="19"/>
          <w:szCs w:val="19"/>
        </w:rPr>
      </w:pPr>
    </w:p>
    <w:p w:rsidR="00F87567" w:rsidRPr="00F87567" w:rsidRDefault="00F87567" w:rsidP="00F87567">
      <w:pPr>
        <w:pStyle w:val="Heading1"/>
        <w:rPr>
          <w:sz w:val="32"/>
          <w:szCs w:val="32"/>
        </w:rPr>
      </w:pPr>
      <w:r w:rsidRPr="00F87567">
        <w:rPr>
          <w:sz w:val="24"/>
          <w:szCs w:val="24"/>
        </w:rPr>
        <w:br w:type="page"/>
      </w:r>
      <w:bookmarkStart w:id="4" w:name="_Toc481062994"/>
      <w:r w:rsidR="00615D2A">
        <w:rPr>
          <w:sz w:val="32"/>
          <w:szCs w:val="32"/>
        </w:rPr>
        <w:lastRenderedPageBreak/>
        <w:t>APPENDIX 6b D</w:t>
      </w:r>
      <w:r w:rsidRPr="00F87567">
        <w:rPr>
          <w:sz w:val="32"/>
          <w:szCs w:val="32"/>
        </w:rPr>
        <w:t>M diagnostics - Area under the ROC curve and sensitivity and specificity estimates in PERU</w:t>
      </w:r>
      <w:bookmarkEnd w:id="4"/>
    </w:p>
    <w:p w:rsidR="00F87567" w:rsidRPr="00F87567" w:rsidRDefault="00F87567" w:rsidP="00F87567">
      <w:pPr>
        <w:adjustRightInd w:val="0"/>
        <w:spacing w:before="10" w:after="10"/>
        <w:rPr>
          <w:rFonts w:ascii="Arial" w:hAnsi="Arial" w:cs="Arial"/>
          <w:b/>
          <w:bCs/>
          <w:color w:val="000000"/>
        </w:rPr>
      </w:pPr>
      <w:r w:rsidRPr="00F87567">
        <w:rPr>
          <w:rFonts w:ascii="Arial" w:hAnsi="Arial" w:cs="Arial"/>
          <w:b/>
          <w:bCs/>
          <w:color w:val="000000"/>
        </w:rPr>
        <w:t>New DM cases defined using laboratory HbA1c ≥6.5%</w:t>
      </w:r>
    </w:p>
    <w:p w:rsidR="00F87567" w:rsidRPr="00F87567" w:rsidRDefault="00F87567" w:rsidP="00F87567">
      <w:pPr>
        <w:adjustRightInd w:val="0"/>
        <w:rPr>
          <w:rFonts w:ascii="Arial" w:hAnsi="Arial" w:cs="Arial"/>
          <w:b/>
          <w:bCs/>
          <w:color w:val="000000"/>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7152D1" w:rsidRPr="007152D1"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Specificity (%)</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RPG/POC HbA1c Combination</w:t>
            </w:r>
            <w:r w:rsidRPr="007152D1">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82.4 (56.6 - 96.2)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87.7 (84.6 - 90.4)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70.6 (44.0 - 89.7)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92.7 (90.1 - 94.8)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Restricted TANDEM Score</w:t>
            </w:r>
            <w:r w:rsidRPr="007152D1">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0.95 (0.92 - 0.99)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67.3 (63.2 - 71.2)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(71.3 - 99.9)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80.2 (76.6 - 83.5)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Full TANDEM Score</w:t>
            </w:r>
            <w:r w:rsidRPr="007152D1">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0.95 (0.90 - 0.99)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66.4 (62.2 - 70.5)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(63.6 - 98.5)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86.2 (82.9 - 89.0)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0.93 (0.89 - 0.98)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43.0 (38.8 - 47.4)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61.5 (57.2 - 65.7)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(63.6 - 98.5)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81.1 (77.5 - 84.4)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0.86 (0.75 - 0.97)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(71.3 - 99.9)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46.0 (41.8 - 50.3)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70.6 (44.0 - 89.7)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90.2 (87.4 - 92.6)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11.1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35.3 (14.2 - 61.7)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99.6 (98.7 - 100.0)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0.86 (0.79 - 0.93)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50.1 (45.8 - 54.4)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(71.3 - 99.9)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60.4 (56.1 - 64.5)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0.86 (0.80 - 0.91)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70.6 (44.0 - 89.7)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79.6 (76.0 - 82.9)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94.1 (71.3 - 99.9)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65.3 (61.2 - 69.3)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lastRenderedPageBreak/>
              <w:t>Age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0.85 (0.78 - 0.92)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82.4 (56.6 - 96.2)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71.0 (67.0 - 74.8)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76.5 (50.1 - 93.2)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81.7 (78.1 - 84.8)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Findrisc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0.85 (0.78 - 0.91)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49.8 (45.5 - 54.1)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35.3 (14.2 - 61.7)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91.5 (88.9 - 93.7)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Urine Dipstick</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trace</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0.82 (0.69 - 0.94)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66.7 (38.4 - 88.2)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95.9 (93.8 - 97.4)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FBG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4.8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0.77 (0.60 - 0.93)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82.4 (56.6 - 96.2)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46.9 (42.1 - 51.7)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5.2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76.5 (50.1 - 93.2)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65.7 (61.0 - 70.2)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7.0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47.1 (23.0 - 72.2)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98.8 (97.3 - 99.6)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0.71 (0.59 - 0.83)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(80.5 - 100.0)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3.1 (1.8 - 4.9)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0.89</w:t>
            </w:r>
            <w:r w:rsidRPr="007152D1">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(63.6 - 98.5)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43.5 (39.3 - 47.8)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0.9</w:t>
            </w:r>
            <w:r w:rsidRPr="007152D1">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88.2 (63.6 - 98.5)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36.9 (32.8 - 41.1)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0.71 (0.56 - 0.85)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47.1 (23.0 - 72.2)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82.8 (79.3 - 85.8)</w:t>
            </w:r>
          </w:p>
        </w:tc>
      </w:tr>
      <w:tr w:rsidR="007152D1" w:rsidRPr="007152D1"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30</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11.8 (1.5 - 36.4)</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97.2 (95.5 - 98.5)</w:t>
            </w:r>
          </w:p>
        </w:tc>
      </w:tr>
    </w:tbl>
    <w:p w:rsidR="00F87567" w:rsidRPr="00F87567" w:rsidRDefault="00F87567" w:rsidP="00F87567">
      <w:pPr>
        <w:adjustRightInd w:val="0"/>
        <w:rPr>
          <w:rFonts w:ascii="Arial" w:hAnsi="Arial" w:cs="Arial"/>
          <w:color w:val="000000"/>
          <w:sz w:val="19"/>
          <w:szCs w:val="19"/>
        </w:rPr>
      </w:pPr>
    </w:p>
    <w:p w:rsidR="00F87567" w:rsidRPr="00F87567" w:rsidRDefault="00F87567" w:rsidP="00F87567">
      <w:pPr>
        <w:spacing w:after="200" w:line="276" w:lineRule="auto"/>
        <w:rPr>
          <w:rFonts w:ascii="Arial" w:hAnsi="Arial" w:cs="Arial"/>
          <w:color w:val="000000"/>
          <w:sz w:val="32"/>
          <w:szCs w:val="32"/>
        </w:rPr>
      </w:pPr>
      <w:r w:rsidRPr="00F87567">
        <w:rPr>
          <w:rFonts w:ascii="Arial" w:hAnsi="Arial" w:cs="Arial"/>
          <w:color w:val="000000"/>
          <w:sz w:val="19"/>
          <w:szCs w:val="19"/>
        </w:rPr>
        <w:br w:type="page"/>
      </w:r>
    </w:p>
    <w:p w:rsidR="00F87567" w:rsidRPr="00F87567" w:rsidRDefault="00615D2A" w:rsidP="00F87567">
      <w:pPr>
        <w:pStyle w:val="Heading1"/>
        <w:rPr>
          <w:sz w:val="32"/>
          <w:szCs w:val="32"/>
        </w:rPr>
      </w:pPr>
      <w:bookmarkStart w:id="5" w:name="_Toc481062995"/>
      <w:r>
        <w:rPr>
          <w:sz w:val="32"/>
          <w:szCs w:val="32"/>
        </w:rPr>
        <w:lastRenderedPageBreak/>
        <w:t xml:space="preserve">APPENDIX 6c </w:t>
      </w:r>
      <w:r w:rsidR="00F87567" w:rsidRPr="00F87567">
        <w:rPr>
          <w:sz w:val="32"/>
          <w:szCs w:val="32"/>
        </w:rPr>
        <w:t>DM diagnostics - Area under the ROC curve and sensitivity and specificity estimates in ROMANIA</w:t>
      </w:r>
      <w:bookmarkEnd w:id="5"/>
    </w:p>
    <w:p w:rsidR="00F87567" w:rsidRPr="00F87567" w:rsidRDefault="00F87567" w:rsidP="00F87567">
      <w:pPr>
        <w:adjustRightInd w:val="0"/>
        <w:spacing w:before="10" w:after="10"/>
        <w:rPr>
          <w:rFonts w:ascii="Arial" w:hAnsi="Arial" w:cs="Arial"/>
          <w:b/>
          <w:bCs/>
          <w:color w:val="000000"/>
        </w:rPr>
      </w:pPr>
      <w:r w:rsidRPr="00F87567">
        <w:rPr>
          <w:rFonts w:ascii="Arial" w:hAnsi="Arial" w:cs="Arial"/>
          <w:b/>
          <w:bCs/>
          <w:color w:val="000000"/>
        </w:rPr>
        <w:t>New DM cases defined using laboratory HbA1c ≥6.5%</w:t>
      </w:r>
    </w:p>
    <w:p w:rsidR="00F87567" w:rsidRPr="00F87567" w:rsidRDefault="00F87567" w:rsidP="00F87567">
      <w:pPr>
        <w:adjustRightInd w:val="0"/>
        <w:rPr>
          <w:rFonts w:ascii="Arial" w:hAnsi="Arial" w:cs="Arial"/>
          <w:b/>
          <w:bCs/>
          <w:color w:val="000000"/>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7152D1" w:rsidRPr="007152D1"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Specificity (%)</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RPG/POC HbA1c Combination</w:t>
            </w:r>
            <w:r w:rsidRPr="007152D1">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37.5 (18.8 - 59.4)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87.8 (84.1 - 90.9)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25.0 (9.8 - 46.7)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97.4 (95.3 - 98.7)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FBG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4.8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0.73 (0.64 - 0.83)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83.9 (66.3 - 94.5)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45.4 (40.6 - 50.2)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5.2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71.0 (52.0 - 85.8)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61.8 (57.0 - 66.3)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7.0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22.6 (9.6 - 41.1)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98.2 (96.4 - 99.2)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0.69 (0.56 - 0.82)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60.9 (38.5 - 80.3)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71.2 (66.4 - 75.7)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43.5 (23.2 - 65.5)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85.2 (81.3 - 88.6)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17.4 (5.0 - 38.8)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97.9 (96.0 - 99.1)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Full TANDEM Score</w:t>
            </w:r>
            <w:r w:rsidRPr="007152D1">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0.69 (0.58 - 0.79)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60.9 (38.5 - 80.3)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55.3 (50.2 - 60.4)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39.1 (19.7 - 61.5)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85.7 (81.8 - 89.1)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0.68 (0.59 - 0.76)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93.5 (78.6 - 99.2)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37.2 (32.7 - 41.9)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58.1 (39.1 - 75.5)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65.8 (61.1 - 70.2)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Age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0.66 (0.55 - 0.78)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83.9 (66.3 - 94.5)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40.4 (35.8 - 45.2)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74.2 (55.4 - 88.1)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59.6 (54.8 - 64.2)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0.66 (0.56 - 0.76)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35.5 (19.2 - 54.6)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83.1 (79.3 - 86.5)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83.9 (66.3 - 94.5)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44.3 (39.6 - 49.1)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lastRenderedPageBreak/>
              <w:t>Findrisc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0.66 (0.56 - 0.76)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66.7 (47.2 - 82.7)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58.9 (54.0 - 63.6)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 (0.8 - 22.1)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98.1 (96.3 - 99.2)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Restricted TANDEM Score</w:t>
            </w:r>
            <w:r w:rsidRPr="007152D1">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0.65 (0.56 - 0.75)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71.4 (51.3 - 86.8)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47.0 (42.1 - 52.0)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42.9 (24.5 - 62.8)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69.5 (64.7 - 73.9)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Urine Dipstick</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trace</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0.57 (0.43 - 0.71)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14.3 (0.4 - 57.9)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99.6 (97.6 - 100.0)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0.55 (0.43 - 0.66)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12.9 (3.6 - 29.8)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94.0 (91.4 - 96.1)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 (0.8 - 21.4)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(99.2 - 100.0)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0.52 (0.39 - 0.66)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90.0 (73.5 - 97.9)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16.2 (12.9 - 20.1)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0.89</w:t>
            </w:r>
            <w:r w:rsidRPr="007152D1">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30.0 (14.7 - 49.4)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73.5 (69.0 - 77.6)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0.9</w:t>
            </w:r>
            <w:r w:rsidRPr="007152D1">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26.7 (12.3 - 45.9)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69.3 (64.7 - 73.6)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0.49 (0.35 - 0.64)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64.3 (44.1 - 81.4)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32.8 (28.2 - 37.6)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42.9 (24.5 - 62.8)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70.9 (66.3 - 75.3)</w:t>
            </w:r>
          </w:p>
        </w:tc>
      </w:tr>
      <w:tr w:rsidR="007152D1" w:rsidRPr="007152D1"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11.1 mmol/l</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14.3 (4.0 - 32.7)</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98.8 (97.1 - 99.6)</w:t>
            </w:r>
          </w:p>
        </w:tc>
      </w:tr>
    </w:tbl>
    <w:p w:rsidR="00F87567" w:rsidRPr="00F87567" w:rsidRDefault="00F87567" w:rsidP="00F87567">
      <w:pPr>
        <w:adjustRightInd w:val="0"/>
        <w:rPr>
          <w:rFonts w:ascii="Arial" w:hAnsi="Arial" w:cs="Arial"/>
          <w:color w:val="000000"/>
          <w:sz w:val="19"/>
          <w:szCs w:val="19"/>
        </w:rPr>
      </w:pPr>
    </w:p>
    <w:p w:rsidR="00F87567" w:rsidRPr="00F87567" w:rsidRDefault="00F87567" w:rsidP="00F87567">
      <w:pPr>
        <w:pStyle w:val="Heading1"/>
        <w:rPr>
          <w:sz w:val="32"/>
          <w:szCs w:val="32"/>
        </w:rPr>
      </w:pPr>
      <w:r w:rsidRPr="00F87567">
        <w:rPr>
          <w:sz w:val="24"/>
          <w:szCs w:val="24"/>
        </w:rPr>
        <w:br w:type="page"/>
      </w:r>
      <w:bookmarkStart w:id="6" w:name="_Toc481062996"/>
      <w:r w:rsidR="00615D2A">
        <w:rPr>
          <w:sz w:val="32"/>
          <w:szCs w:val="32"/>
        </w:rPr>
        <w:lastRenderedPageBreak/>
        <w:t xml:space="preserve">APPENDIX 6d </w:t>
      </w:r>
      <w:r w:rsidRPr="00F87567">
        <w:rPr>
          <w:sz w:val="32"/>
          <w:szCs w:val="32"/>
        </w:rPr>
        <w:t>DM diagnostics - Area under the ROC curve and sensitivity and specificity estimates in SOUTH AFRICA</w:t>
      </w:r>
      <w:bookmarkEnd w:id="6"/>
    </w:p>
    <w:p w:rsidR="00F87567" w:rsidRPr="00F87567" w:rsidRDefault="00F87567" w:rsidP="00F87567">
      <w:pPr>
        <w:adjustRightInd w:val="0"/>
        <w:spacing w:before="10" w:after="10"/>
        <w:rPr>
          <w:rFonts w:ascii="Arial" w:hAnsi="Arial" w:cs="Arial"/>
          <w:b/>
          <w:bCs/>
          <w:color w:val="000000"/>
        </w:rPr>
      </w:pPr>
      <w:r w:rsidRPr="00F87567">
        <w:rPr>
          <w:rFonts w:ascii="Arial" w:hAnsi="Arial" w:cs="Arial"/>
          <w:b/>
          <w:bCs/>
          <w:color w:val="000000"/>
        </w:rPr>
        <w:t>New DM cases defined using laboratory HbA1c ≥6.5%</w:t>
      </w:r>
    </w:p>
    <w:p w:rsidR="00F87567" w:rsidRPr="00F87567" w:rsidRDefault="00F87567" w:rsidP="00F87567">
      <w:pPr>
        <w:adjustRightInd w:val="0"/>
        <w:rPr>
          <w:rFonts w:ascii="Arial" w:hAnsi="Arial" w:cs="Arial"/>
          <w:b/>
          <w:bCs/>
          <w:color w:val="000000"/>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7152D1" w:rsidRPr="007152D1"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Specificity (%)</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RPG/POC HbA1c Combination</w:t>
            </w:r>
            <w:r w:rsidRPr="007152D1">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22.2 (6.4 - 47.6)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90.9 (86.5 - 94.3)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22.2 (6.4 - 47.6)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96.6 (93.3 - 98.5)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Full TANDEM Score</w:t>
            </w:r>
            <w:r w:rsidRPr="007152D1">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0.74 (0.61 - 0.87)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66.7 (41.0 - 86.7)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71.1 (64.8 - 76.9)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33.3 (13.3 - 59.0)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89.2 (84.5 - 92.9)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0.72 (0.59 - 0.84)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55.6 (30.8 - 78.5)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70.3 (63.9 - 76.1)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50.0 (26.0 - 74.0)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82.3 (76.8 - 87.0)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33.3 (13.3 - 59.0)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92.7 (88.5 - 95.7)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Restricted TANDEM Score</w:t>
            </w:r>
            <w:r w:rsidRPr="007152D1">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0.67 (0.53 - 0.80)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77.8 (52.4 - 93.6)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51.3 (44.7 - 57.7)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50.0 (26.0 - 74.0)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68.8 (62.5 - 74.6)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Age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0.66 (0.55 - 0.78)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66.7 (41.0 - 86.7)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58.9 (52.4 - 65.2)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55.6 (30.8 - 78.5)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69.3 (63.1 - 75.1)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0.63 (0.49 - 0.77)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77.8 (52.4 - 93.6)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35.7 (29.6 - 42.1)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72.2 (46.5 - 90.3)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50.2 (43.7 - 56.7)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Findrisc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0.61 (0.48 - 0.74)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77.8 (52.4 - 93.6)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46.2 (39.8 - 52.8)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11.1 (1.4 - 34.7)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92.0 (87.8 - 95.1)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0.60 (0.45 - 0.76)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77.8 (52.4 - 93.6)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32.9 (27.0 - 39.3)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38.9 (17.3 - 64.3)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76.7 (70.8 - 81.9)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11.1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11.1 (1.4 - 34.7)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99.6 (97.7 - 100.0)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0.60 (0.45 - 0.74)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27.8 (9.7 - 53.5)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85.9 (80.8 - 90.0)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61.1 (35.7 - 82.7)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51.9 (45.4 - 58.3)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0.60 (0.47 - 0.72)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5.6 (0.1 - 27.3)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95.4 (91.9 - 97.7)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(81.5 - 100.0)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98.8 (96.4 - 99.7)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0.58 (0.45 - 0.70)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100.0 (81.5 - 100.0)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8.4 (5.2 - 12.6)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0.89</w:t>
            </w:r>
            <w:r w:rsidRPr="007152D1">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38.9 (17.3 - 64.3)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69.5 (63.2 - 75.2)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0.9</w:t>
            </w:r>
            <w:r w:rsidRPr="007152D1">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44.4 (21.5 - 69.2)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61.5 (55.0 - 67.7)</w:t>
            </w:r>
          </w:p>
        </w:tc>
      </w:tr>
      <w:tr w:rsidR="007152D1" w:rsidRPr="007152D1"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Urine Dipstick</w:t>
            </w:r>
          </w:p>
        </w:tc>
        <w:tc>
          <w:tcPr>
            <w:tcW w:w="1994"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trace</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0.56 (0.45 - 0.67)</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27.8 (9.7 - 53.5)</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60.8 (54.3 - 67.0)</w:t>
            </w:r>
          </w:p>
        </w:tc>
      </w:tr>
    </w:tbl>
    <w:p w:rsidR="00F87567" w:rsidRPr="00F87567" w:rsidRDefault="00F87567" w:rsidP="00F87567">
      <w:pPr>
        <w:adjustRightInd w:val="0"/>
        <w:spacing w:before="10" w:after="10"/>
        <w:rPr>
          <w:rFonts w:ascii="Arial" w:hAnsi="Arial" w:cs="Arial"/>
          <w:color w:val="000000"/>
          <w:sz w:val="18"/>
          <w:szCs w:val="18"/>
          <w:vertAlign w:val="superscript"/>
        </w:rPr>
      </w:pPr>
    </w:p>
    <w:p w:rsidR="00F87567" w:rsidRPr="00F87567" w:rsidRDefault="00F87567" w:rsidP="00F87567">
      <w:pPr>
        <w:adjustRightInd w:val="0"/>
        <w:spacing w:before="10" w:after="10"/>
        <w:rPr>
          <w:rFonts w:ascii="Arial" w:hAnsi="Arial" w:cs="Arial"/>
          <w:color w:val="000000"/>
          <w:sz w:val="18"/>
          <w:szCs w:val="18"/>
        </w:rPr>
      </w:pPr>
      <w:r w:rsidRPr="00F87567">
        <w:rPr>
          <w:rFonts w:ascii="Arial" w:hAnsi="Arial" w:cs="Arial"/>
          <w:color w:val="000000"/>
          <w:sz w:val="18"/>
          <w:szCs w:val="18"/>
          <w:vertAlign w:val="superscript"/>
        </w:rPr>
        <w:t>1</w:t>
      </w:r>
      <w:r w:rsidRPr="00F87567">
        <w:rPr>
          <w:rFonts w:ascii="Arial" w:hAnsi="Arial" w:cs="Arial"/>
          <w:color w:val="000000"/>
          <w:sz w:val="18"/>
          <w:szCs w:val="18"/>
        </w:rPr>
        <w:t>RPG ≥ 11.1 is deemed to be DM. If RPG ≥ 6.1 then a POC HbA1c test is performed.</w:t>
      </w:r>
    </w:p>
    <w:p w:rsidR="00F87567" w:rsidRPr="00F87567" w:rsidRDefault="00F87567" w:rsidP="00F87567">
      <w:pPr>
        <w:adjustRightInd w:val="0"/>
        <w:spacing w:before="10" w:after="10"/>
        <w:rPr>
          <w:rFonts w:ascii="Arial" w:hAnsi="Arial" w:cs="Arial"/>
          <w:color w:val="000000"/>
          <w:sz w:val="18"/>
          <w:szCs w:val="18"/>
        </w:rPr>
      </w:pPr>
      <w:r w:rsidRPr="00F87567">
        <w:rPr>
          <w:rFonts w:ascii="Arial" w:hAnsi="Arial" w:cs="Arial"/>
          <w:color w:val="000000"/>
          <w:sz w:val="18"/>
          <w:szCs w:val="18"/>
          <w:vertAlign w:val="superscript"/>
        </w:rPr>
        <w:t>2</w:t>
      </w:r>
      <w:r w:rsidRPr="00F87567">
        <w:rPr>
          <w:rFonts w:ascii="Arial" w:hAnsi="Arial" w:cs="Arial"/>
          <w:color w:val="000000"/>
          <w:sz w:val="18"/>
          <w:szCs w:val="18"/>
        </w:rPr>
        <w:t>Full TANDEM score includes POC HbA1c, RPG and age.</w:t>
      </w:r>
    </w:p>
    <w:p w:rsidR="00F87567" w:rsidRDefault="00F87567" w:rsidP="00F87567">
      <w:pPr>
        <w:adjustRightInd w:val="0"/>
        <w:spacing w:before="10" w:after="10"/>
        <w:rPr>
          <w:rFonts w:ascii="Arial" w:hAnsi="Arial" w:cs="Arial"/>
          <w:color w:val="000000"/>
          <w:sz w:val="18"/>
          <w:szCs w:val="18"/>
        </w:rPr>
      </w:pPr>
      <w:r w:rsidRPr="00F87567">
        <w:rPr>
          <w:rFonts w:ascii="Arial" w:hAnsi="Arial" w:cs="Arial"/>
          <w:color w:val="000000"/>
          <w:sz w:val="18"/>
          <w:szCs w:val="18"/>
          <w:vertAlign w:val="superscript"/>
        </w:rPr>
        <w:t>3</w:t>
      </w:r>
      <w:r w:rsidRPr="00F87567">
        <w:rPr>
          <w:rFonts w:ascii="Arial" w:hAnsi="Arial" w:cs="Arial"/>
          <w:color w:val="000000"/>
          <w:sz w:val="18"/>
          <w:szCs w:val="18"/>
        </w:rPr>
        <w:t>Restricted TANDEM score includes RPG, age, BMI and physical activity.</w:t>
      </w:r>
    </w:p>
    <w:p w:rsidR="007A581F" w:rsidRPr="00CA2988" w:rsidRDefault="00F87567" w:rsidP="00F87567">
      <w:pPr>
        <w:spacing w:after="200" w:line="276" w:lineRule="auto"/>
        <w:rPr>
          <w:rFonts w:ascii="Arial" w:hAnsi="Arial" w:cs="Arial"/>
          <w:b/>
          <w:bCs/>
          <w:color w:val="000000"/>
          <w:sz w:val="32"/>
          <w:szCs w:val="32"/>
        </w:rPr>
      </w:pPr>
      <w:r>
        <w:rPr>
          <w:rFonts w:ascii="Arial" w:hAnsi="Arial" w:cs="Arial"/>
          <w:color w:val="000000"/>
          <w:sz w:val="18"/>
          <w:szCs w:val="18"/>
        </w:rPr>
        <w:br w:type="page"/>
      </w:r>
      <w:r>
        <w:rPr>
          <w:rFonts w:ascii="Arial" w:hAnsi="Arial" w:cs="Arial"/>
          <w:b/>
          <w:bCs/>
          <w:color w:val="000000"/>
          <w:sz w:val="32"/>
          <w:szCs w:val="32"/>
        </w:rPr>
        <w:lastRenderedPageBreak/>
        <w:t>OVERALL D</w:t>
      </w:r>
      <w:r w:rsidR="007A581F" w:rsidRPr="00CA2988">
        <w:rPr>
          <w:rFonts w:ascii="Arial" w:hAnsi="Arial" w:cs="Arial"/>
          <w:b/>
          <w:bCs/>
          <w:color w:val="000000"/>
          <w:sz w:val="32"/>
          <w:szCs w:val="32"/>
        </w:rPr>
        <w:t>M diagnostics - Area under the ROC curve and sensitivity and specificity estimates</w:t>
      </w:r>
    </w:p>
    <w:p w:rsidR="007A581F" w:rsidRPr="00127C7E" w:rsidRDefault="007A581F" w:rsidP="007A581F">
      <w:pPr>
        <w:adjustRightInd w:val="0"/>
        <w:spacing w:before="10" w:after="10"/>
        <w:rPr>
          <w:rFonts w:ascii="Arial" w:hAnsi="Arial" w:cs="Arial"/>
          <w:b/>
          <w:bCs/>
          <w:color w:val="000000"/>
        </w:rPr>
      </w:pPr>
    </w:p>
    <w:p w:rsidR="007A581F" w:rsidRPr="00127C7E" w:rsidRDefault="007A581F" w:rsidP="007A581F">
      <w:pPr>
        <w:adjustRightInd w:val="0"/>
        <w:spacing w:before="10" w:after="10"/>
        <w:rPr>
          <w:rFonts w:ascii="Arial" w:hAnsi="Arial" w:cs="Arial"/>
          <w:b/>
          <w:bCs/>
          <w:color w:val="000000"/>
        </w:rPr>
      </w:pPr>
      <w:r w:rsidRPr="00127C7E">
        <w:rPr>
          <w:rFonts w:ascii="Arial" w:hAnsi="Arial" w:cs="Arial"/>
          <w:b/>
          <w:bCs/>
          <w:color w:val="000000"/>
        </w:rPr>
        <w:t>New DM cases defined using laboratory HbA1c ≥6.5%</w:t>
      </w:r>
    </w:p>
    <w:p w:rsidR="007A581F" w:rsidRPr="00127C7E" w:rsidRDefault="007A581F" w:rsidP="007A581F">
      <w:pPr>
        <w:adjustRightInd w:val="0"/>
        <w:rPr>
          <w:rFonts w:ascii="Arial" w:hAnsi="Arial" w:cs="Arial"/>
          <w:b/>
          <w:bCs/>
          <w:color w:val="00000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7152D1" w:rsidRPr="007152D1"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Specificity (%)</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RPG/POC HbA1c Combination</w:t>
            </w:r>
            <w:r w:rsidRPr="007152D1">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63.4 (52.8 - 73.2)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89.3 (87.8 - 90.7)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55.9 (45.2 - 66.2)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95.4 (94.3 - 96.3)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Full TANDEM Score</w:t>
            </w:r>
            <w:r w:rsidRPr="007152D1">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0.85 (0.81 - 0.90)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82.4 (73.0 - 89.6)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62.8 (60.5 - 65.1)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67.0 (56.4 - 76.5)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87.4 (85.7 - 88.9)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Restricted TANDEM Score</w:t>
            </w:r>
            <w:r w:rsidRPr="007152D1">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0.84 (0.79 - 0.88)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85.6 (77.0 - 91.9)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58.4 (56.1 - 60.7)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71.1 (61.0 - 79.9)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77.2 (75.2 - 79.2)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0.81 (0.75 - 0.86)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81.3 (71.8 - 88.7)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56.2 (53.8 - 58.5)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75.8 (65.7 - 84.2)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70.4 (68.2 - 72.6)</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59.3 (48.5 - 69.5)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88.7 (87.2 - 90.2)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FBG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4.8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0.78 (0.70 - 0.85)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83.1 (71.0 - 91.6)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47.7 (44.6 - 50.9)</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5.2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74.6 (61.6 - 85.0)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65.8 (62.8 - 68.8)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7.0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35.6 (23.6 - 49.1)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98.4 (97.3 - 99.1)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0.77 (0.70 - 0.83)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83.5 (74.6 - 90.3)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40.0 (37.7 - 42.3)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62.9 (52.5 - 72.5)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83.3 (81.5 - 85.0)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11.1 mmol/l</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36.1 (26.6 - 46.5)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99.3 (98.8 - 99.7)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lastRenderedPageBreak/>
              <w:t>Age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0.75 (0.70 - 0.80)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81.0 (71.9 - 88.2)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58.2 (55.9 - 60.5)</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72.0 (62.1 - 80.5)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72.3 (70.2 - 74.4)</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0.72 (0.67 - 0.77)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90.0 (82.4 - 95.1)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43.0 (40.7 - 45.3)</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70.0 (60.0 - 78.8)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62.8 (60.5 - 65.0)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0.72 (0.66 - 0.77)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41.0 (31.3 - 51.3)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84.4 (82.7 - 86.1)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82.0 (73.1 - 89.0)</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56.4 (54.1 - 58.7)</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Findrisc Score</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0.70 (0.64 - 0.75)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76.8 (67.2 - 84.7)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56.5 (54.2 - 58.8)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17.2 (10.3 - 26.1)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95.3 (94.2 - 96.2)</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Urine Dipstick</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trace</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0.66 (0.60 - 0.71)</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37.8 (26.8 - 49.9)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92.5 (91.1 - 93.8)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0.59 (0.53 - 0.65)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96.0 (90.0 - 98.9)</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13.3 (11.8 - 15.0)</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0.89</w:t>
            </w:r>
            <w:r w:rsidRPr="007152D1">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46.5 (36.4 - 56.8)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65.6 (63.4 - 67.8)</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Male ≥ 0.9</w:t>
            </w:r>
            <w:r w:rsidRPr="007152D1">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47.5 (37.3 - 57.8)</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58.8 (56.5 - 61.1)</w:t>
            </w:r>
          </w:p>
        </w:tc>
      </w:tr>
      <w:tr w:rsidR="007152D1" w:rsidRPr="007152D1" w:rsidTr="006007DE">
        <w:trPr>
          <w:cantSplit/>
          <w:jc w:val="center"/>
        </w:trPr>
        <w:tc>
          <w:tcPr>
            <w:tcW w:w="283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0.57 (0.51 - 0.63)</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20.0 (12.7 - 29.2)</w:t>
            </w:r>
          </w:p>
        </w:tc>
        <w:tc>
          <w:tcPr>
            <w:tcW w:w="2845" w:type="dxa"/>
            <w:tcBorders>
              <w:top w:val="nil"/>
              <w:left w:val="nil"/>
              <w:bottom w:val="nil"/>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92.1 (90.8 - 93.3)</w:t>
            </w:r>
          </w:p>
        </w:tc>
      </w:tr>
      <w:tr w:rsidR="007152D1" w:rsidRPr="007152D1"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p>
        </w:tc>
        <w:tc>
          <w:tcPr>
            <w:tcW w:w="1994"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rPr>
                <w:rFonts w:ascii="Calibri" w:hAnsi="Calibri" w:cs="Calibri"/>
                <w:color w:val="000000"/>
                <w:sz w:val="22"/>
                <w:szCs w:val="22"/>
              </w:rPr>
            </w:pPr>
            <w:r w:rsidRPr="007152D1">
              <w:rPr>
                <w:rFonts w:ascii="Calibri" w:hAnsi="Calibri" w:cs="Calibri"/>
                <w:color w:val="000000"/>
                <w:sz w:val="22"/>
                <w:szCs w:val="22"/>
              </w:rPr>
              <w:t>≥ 30</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6.0 (2.2 - 12.6)</w:t>
            </w:r>
          </w:p>
        </w:tc>
        <w:tc>
          <w:tcPr>
            <w:tcW w:w="2845" w:type="dxa"/>
            <w:tcBorders>
              <w:top w:val="nil"/>
              <w:left w:val="nil"/>
              <w:bottom w:val="single" w:sz="4" w:space="0" w:color="000000"/>
              <w:right w:val="nil"/>
            </w:tcBorders>
            <w:shd w:val="clear" w:color="auto" w:fill="FFFFFF"/>
            <w:tcMar>
              <w:left w:w="67" w:type="dxa"/>
              <w:right w:w="67" w:type="dxa"/>
            </w:tcMar>
          </w:tcPr>
          <w:p w:rsidR="007152D1" w:rsidRPr="007152D1" w:rsidRDefault="007152D1" w:rsidP="007152D1">
            <w:pPr>
              <w:adjustRightInd w:val="0"/>
              <w:spacing w:before="67" w:after="67"/>
              <w:jc w:val="center"/>
              <w:rPr>
                <w:rFonts w:ascii="Calibri" w:hAnsi="Calibri" w:cs="Calibri"/>
                <w:color w:val="000000"/>
                <w:sz w:val="22"/>
                <w:szCs w:val="22"/>
              </w:rPr>
            </w:pPr>
            <w:r w:rsidRPr="007152D1">
              <w:rPr>
                <w:rFonts w:ascii="Calibri" w:hAnsi="Calibri" w:cs="Calibri"/>
                <w:color w:val="000000"/>
                <w:sz w:val="22"/>
                <w:szCs w:val="22"/>
              </w:rPr>
              <w:t>99.0 (98.4 - 99.4)</w:t>
            </w:r>
          </w:p>
        </w:tc>
      </w:tr>
    </w:tbl>
    <w:p w:rsidR="007A581F" w:rsidRPr="00127C7E" w:rsidRDefault="007A581F" w:rsidP="007A581F">
      <w:pPr>
        <w:adjustRightInd w:val="0"/>
        <w:rPr>
          <w:rFonts w:ascii="Arial" w:hAnsi="Arial" w:cs="Arial"/>
          <w:color w:val="000000"/>
          <w:sz w:val="19"/>
          <w:szCs w:val="19"/>
        </w:rPr>
      </w:pPr>
    </w:p>
    <w:p w:rsidR="007A581F" w:rsidRPr="00127C7E" w:rsidRDefault="007A581F" w:rsidP="007A581F">
      <w:pPr>
        <w:adjustRightInd w:val="0"/>
        <w:jc w:val="center"/>
        <w:rPr>
          <w:rFonts w:eastAsia="Times New Roman"/>
          <w:sz w:val="24"/>
          <w:szCs w:val="24"/>
        </w:rPr>
      </w:pPr>
    </w:p>
    <w:p w:rsidR="007A581F" w:rsidRPr="00127C7E" w:rsidRDefault="007A581F" w:rsidP="007A581F">
      <w:pPr>
        <w:adjustRightInd w:val="0"/>
        <w:spacing w:before="10" w:after="10"/>
        <w:rPr>
          <w:rFonts w:ascii="Arial" w:hAnsi="Arial" w:cs="Arial"/>
          <w:color w:val="000000"/>
          <w:sz w:val="18"/>
          <w:szCs w:val="18"/>
        </w:rPr>
      </w:pPr>
      <w:r w:rsidRPr="00127C7E">
        <w:rPr>
          <w:rFonts w:ascii="Arial" w:hAnsi="Arial" w:cs="Arial"/>
          <w:color w:val="000000"/>
          <w:sz w:val="18"/>
          <w:szCs w:val="18"/>
          <w:vertAlign w:val="superscript"/>
        </w:rPr>
        <w:t>1</w:t>
      </w:r>
      <w:r w:rsidRPr="00127C7E">
        <w:rPr>
          <w:rFonts w:ascii="Arial" w:hAnsi="Arial" w:cs="Arial"/>
          <w:color w:val="000000"/>
          <w:sz w:val="18"/>
          <w:szCs w:val="18"/>
        </w:rPr>
        <w:t>RPG ≥ 11.1 is deemed to be DM. If RPG ≥ 6.1 then a POC HbA1c test is performed.</w:t>
      </w:r>
    </w:p>
    <w:p w:rsidR="007A581F" w:rsidRPr="00127C7E" w:rsidRDefault="007A581F" w:rsidP="007A581F">
      <w:pPr>
        <w:adjustRightInd w:val="0"/>
        <w:spacing w:before="10" w:after="10"/>
        <w:rPr>
          <w:rFonts w:ascii="Arial" w:hAnsi="Arial" w:cs="Arial"/>
          <w:color w:val="000000"/>
          <w:sz w:val="18"/>
          <w:szCs w:val="18"/>
        </w:rPr>
      </w:pPr>
      <w:r w:rsidRPr="00127C7E">
        <w:rPr>
          <w:rFonts w:ascii="Arial" w:hAnsi="Arial" w:cs="Arial"/>
          <w:color w:val="000000"/>
          <w:sz w:val="18"/>
          <w:szCs w:val="18"/>
          <w:vertAlign w:val="superscript"/>
        </w:rPr>
        <w:t>2</w:t>
      </w:r>
      <w:r w:rsidRPr="00127C7E">
        <w:rPr>
          <w:rFonts w:ascii="Arial" w:hAnsi="Arial" w:cs="Arial"/>
          <w:color w:val="000000"/>
          <w:sz w:val="18"/>
          <w:szCs w:val="18"/>
        </w:rPr>
        <w:t>Full TANDEM score includes age, POC HbA1c, and RPG.</w:t>
      </w:r>
    </w:p>
    <w:p w:rsidR="007A581F" w:rsidRPr="00127C7E" w:rsidRDefault="007A581F" w:rsidP="007A581F">
      <w:pPr>
        <w:adjustRightInd w:val="0"/>
        <w:spacing w:before="10" w:after="10"/>
        <w:rPr>
          <w:rFonts w:ascii="Arial" w:hAnsi="Arial" w:cs="Arial"/>
          <w:color w:val="000000"/>
          <w:sz w:val="18"/>
          <w:szCs w:val="18"/>
        </w:rPr>
      </w:pPr>
      <w:r w:rsidRPr="00127C7E">
        <w:rPr>
          <w:rFonts w:ascii="Arial" w:hAnsi="Arial" w:cs="Arial"/>
          <w:color w:val="000000"/>
          <w:sz w:val="18"/>
          <w:szCs w:val="18"/>
          <w:vertAlign w:val="superscript"/>
        </w:rPr>
        <w:t>3</w:t>
      </w:r>
      <w:r w:rsidRPr="00127C7E">
        <w:rPr>
          <w:rFonts w:ascii="Arial" w:hAnsi="Arial" w:cs="Arial"/>
          <w:color w:val="000000"/>
          <w:sz w:val="18"/>
          <w:szCs w:val="18"/>
        </w:rPr>
        <w:t>Restricted TANDEM score includes age, RPG, BMI, and physical activity.</w:t>
      </w:r>
    </w:p>
    <w:p w:rsidR="007A581F" w:rsidRDefault="007A581F" w:rsidP="00AA6C49">
      <w:pPr>
        <w:pStyle w:val="Heading1"/>
      </w:pPr>
    </w:p>
    <w:p w:rsidR="000B5467" w:rsidRPr="000B5467" w:rsidRDefault="007A581F" w:rsidP="000B5467">
      <w:pPr>
        <w:adjustRightInd w:val="0"/>
        <w:spacing w:before="10" w:after="10"/>
        <w:rPr>
          <w:rFonts w:ascii="Arial" w:eastAsia="Times New Roman" w:hAnsi="Arial" w:cs="Arial"/>
          <w:b/>
          <w:bCs/>
          <w:color w:val="000000"/>
          <w:sz w:val="32"/>
          <w:szCs w:val="32"/>
        </w:rPr>
      </w:pPr>
      <w:bookmarkStart w:id="7" w:name="_Toc481062997"/>
      <w:bookmarkEnd w:id="3"/>
      <w:r>
        <w:br w:type="page"/>
      </w:r>
      <w:r w:rsidR="000B5467" w:rsidRPr="000B5467">
        <w:rPr>
          <w:rFonts w:ascii="Arial" w:hAnsi="Arial" w:cs="Arial"/>
          <w:b/>
          <w:sz w:val="32"/>
          <w:szCs w:val="32"/>
        </w:rPr>
        <w:lastRenderedPageBreak/>
        <w:t xml:space="preserve">APPENDIX 7 DM diagnostics </w:t>
      </w:r>
      <w:r w:rsidR="000B5467" w:rsidRPr="000B5467">
        <w:rPr>
          <w:rFonts w:ascii="Arial" w:eastAsia="Times New Roman" w:hAnsi="Arial" w:cs="Arial"/>
          <w:b/>
          <w:bCs/>
          <w:sz w:val="32"/>
          <w:szCs w:val="32"/>
        </w:rPr>
        <w:t>- Area under the ROC curve and sensitivity and specificity estimates</w:t>
      </w:r>
    </w:p>
    <w:p w:rsidR="000B5467" w:rsidRPr="00127C7E" w:rsidRDefault="000B5467" w:rsidP="000B5467">
      <w:pPr>
        <w:adjustRightInd w:val="0"/>
        <w:spacing w:before="10" w:after="10" w:line="480" w:lineRule="auto"/>
        <w:rPr>
          <w:rFonts w:ascii="Arial" w:eastAsia="Times New Roman" w:hAnsi="Arial" w:cs="Arial"/>
          <w:b/>
          <w:bCs/>
          <w:color w:val="000000"/>
        </w:rPr>
      </w:pPr>
      <w:r w:rsidRPr="00127C7E">
        <w:rPr>
          <w:rFonts w:ascii="Arial" w:eastAsia="Times New Roman" w:hAnsi="Arial" w:cs="Arial"/>
          <w:b/>
          <w:bCs/>
          <w:color w:val="000000"/>
        </w:rPr>
        <w:t xml:space="preserve">New DM cases </w:t>
      </w:r>
      <w:r>
        <w:rPr>
          <w:rFonts w:ascii="Arial" w:eastAsia="Times New Roman" w:hAnsi="Arial" w:cs="Arial"/>
          <w:b/>
          <w:bCs/>
          <w:color w:val="000000"/>
        </w:rPr>
        <w:t>confirmed with repeat HbA1c or FBG following TB treatment</w:t>
      </w: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0B5467" w:rsidRPr="00127C7E"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0B5467" w:rsidRPr="00127C7E" w:rsidRDefault="000B5467" w:rsidP="00E5145B">
            <w:pPr>
              <w:adjustRightInd w:val="0"/>
              <w:spacing w:before="67" w:after="67" w:line="480" w:lineRule="auto"/>
              <w:rPr>
                <w:rFonts w:ascii="Arial" w:eastAsia="Times New Roman" w:hAnsi="Arial" w:cs="Arial"/>
                <w:b/>
                <w:bCs/>
                <w:i/>
                <w:iCs/>
                <w:color w:val="000000"/>
                <w:sz w:val="19"/>
                <w:szCs w:val="19"/>
              </w:rPr>
            </w:pPr>
            <w:r w:rsidRPr="00127C7E">
              <w:rPr>
                <w:rFonts w:ascii="Arial" w:eastAsia="Times New Roman" w:hAnsi="Arial" w:cs="Arial"/>
                <w:b/>
                <w:bCs/>
                <w:i/>
                <w:iCs/>
                <w:color w:val="000000"/>
                <w:sz w:val="19"/>
                <w:szCs w:val="19"/>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0B5467" w:rsidRPr="00127C7E" w:rsidRDefault="000B5467" w:rsidP="00E5145B">
            <w:pPr>
              <w:adjustRightInd w:val="0"/>
              <w:spacing w:before="67" w:after="67" w:line="480" w:lineRule="auto"/>
              <w:rPr>
                <w:rFonts w:ascii="Arial" w:eastAsia="Times New Roman" w:hAnsi="Arial" w:cs="Arial"/>
                <w:b/>
                <w:bCs/>
                <w:i/>
                <w:iCs/>
                <w:color w:val="000000"/>
                <w:sz w:val="19"/>
                <w:szCs w:val="19"/>
              </w:rPr>
            </w:pPr>
            <w:r w:rsidRPr="00127C7E">
              <w:rPr>
                <w:rFonts w:ascii="Arial" w:eastAsia="Times New Roman" w:hAnsi="Arial" w:cs="Arial"/>
                <w:b/>
                <w:bCs/>
                <w:i/>
                <w:iCs/>
                <w:color w:val="000000"/>
                <w:sz w:val="19"/>
                <w:szCs w:val="19"/>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0B5467" w:rsidRPr="00127C7E" w:rsidRDefault="000B5467" w:rsidP="00E5145B">
            <w:pPr>
              <w:adjustRightInd w:val="0"/>
              <w:spacing w:before="67" w:after="67" w:line="480" w:lineRule="auto"/>
              <w:jc w:val="center"/>
              <w:rPr>
                <w:rFonts w:ascii="Arial" w:eastAsia="Times New Roman" w:hAnsi="Arial" w:cs="Arial"/>
                <w:b/>
                <w:bCs/>
                <w:i/>
                <w:iCs/>
                <w:color w:val="000000"/>
                <w:sz w:val="19"/>
                <w:szCs w:val="19"/>
              </w:rPr>
            </w:pPr>
            <w:r w:rsidRPr="00127C7E">
              <w:rPr>
                <w:rFonts w:ascii="Arial" w:eastAsia="Times New Roman" w:hAnsi="Arial" w:cs="Arial"/>
                <w:b/>
                <w:bCs/>
                <w:i/>
                <w:iCs/>
                <w:color w:val="000000"/>
                <w:sz w:val="19"/>
                <w:szCs w:val="19"/>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0B5467" w:rsidRPr="00127C7E" w:rsidRDefault="000B5467" w:rsidP="00E5145B">
            <w:pPr>
              <w:adjustRightInd w:val="0"/>
              <w:spacing w:before="67" w:after="67" w:line="480" w:lineRule="auto"/>
              <w:jc w:val="center"/>
              <w:rPr>
                <w:rFonts w:ascii="Arial" w:eastAsia="Times New Roman" w:hAnsi="Arial" w:cs="Arial"/>
                <w:b/>
                <w:bCs/>
                <w:i/>
                <w:iCs/>
                <w:color w:val="000000"/>
                <w:sz w:val="19"/>
                <w:szCs w:val="19"/>
              </w:rPr>
            </w:pPr>
            <w:r w:rsidRPr="00127C7E">
              <w:rPr>
                <w:rFonts w:ascii="Arial" w:eastAsia="Times New Roman" w:hAnsi="Arial" w:cs="Arial"/>
                <w:b/>
                <w:bCs/>
                <w:i/>
                <w:iCs/>
                <w:color w:val="000000"/>
                <w:sz w:val="19"/>
                <w:szCs w:val="19"/>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0B5467" w:rsidRPr="00127C7E" w:rsidRDefault="000B5467" w:rsidP="00E5145B">
            <w:pPr>
              <w:adjustRightInd w:val="0"/>
              <w:spacing w:before="67" w:after="67" w:line="480" w:lineRule="auto"/>
              <w:jc w:val="center"/>
              <w:rPr>
                <w:rFonts w:ascii="Arial" w:eastAsia="Times New Roman" w:hAnsi="Arial" w:cs="Arial"/>
                <w:b/>
                <w:bCs/>
                <w:i/>
                <w:iCs/>
                <w:color w:val="000000"/>
                <w:sz w:val="19"/>
                <w:szCs w:val="19"/>
              </w:rPr>
            </w:pPr>
            <w:r w:rsidRPr="00127C7E">
              <w:rPr>
                <w:rFonts w:ascii="Arial" w:eastAsia="Times New Roman" w:hAnsi="Arial" w:cs="Arial"/>
                <w:b/>
                <w:bCs/>
                <w:i/>
                <w:iCs/>
                <w:color w:val="000000"/>
                <w:sz w:val="19"/>
                <w:szCs w:val="19"/>
              </w:rPr>
              <w:t>Specificity (%)</w:t>
            </w:r>
          </w:p>
        </w:tc>
      </w:tr>
      <w:tr w:rsidR="000B5467"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0B5467" w:rsidRPr="00127C7E" w:rsidRDefault="000B5467" w:rsidP="00E5145B">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RPG/POC HbA1c Combination</w:t>
            </w:r>
            <w:r w:rsidRPr="00127C7E">
              <w:rPr>
                <w:rFonts w:ascii="Arial" w:eastAsia="Times New Roman" w:hAnsi="Arial" w:cs="Arial"/>
                <w:color w:val="000000"/>
                <w:sz w:val="19"/>
                <w:szCs w:val="19"/>
                <w:vertAlign w:val="superscript"/>
              </w:rPr>
              <w:t>1</w:t>
            </w:r>
          </w:p>
        </w:tc>
        <w:tc>
          <w:tcPr>
            <w:tcW w:w="1994" w:type="dxa"/>
            <w:tcBorders>
              <w:top w:val="nil"/>
              <w:left w:val="nil"/>
              <w:bottom w:val="nil"/>
              <w:right w:val="nil"/>
            </w:tcBorders>
            <w:shd w:val="clear" w:color="auto" w:fill="FFFFFF"/>
            <w:tcMar>
              <w:left w:w="67" w:type="dxa"/>
              <w:right w:w="67" w:type="dxa"/>
            </w:tcMar>
          </w:tcPr>
          <w:p w:rsidR="000B5467" w:rsidRPr="00127C7E" w:rsidRDefault="000B5467" w:rsidP="00E5145B">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POC HbA1c ≥ 6.0%</w:t>
            </w:r>
          </w:p>
        </w:tc>
        <w:tc>
          <w:tcPr>
            <w:tcW w:w="2845" w:type="dxa"/>
            <w:tcBorders>
              <w:top w:val="nil"/>
              <w:left w:val="nil"/>
              <w:bottom w:val="nil"/>
              <w:right w:val="nil"/>
            </w:tcBorders>
            <w:shd w:val="clear" w:color="auto" w:fill="FFFFFF"/>
            <w:tcMar>
              <w:left w:w="67" w:type="dxa"/>
              <w:right w:w="67" w:type="dxa"/>
            </w:tcMar>
          </w:tcPr>
          <w:p w:rsidR="000B5467" w:rsidRPr="00F56A1D" w:rsidRDefault="000B5467" w:rsidP="00E5145B">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0B5467" w:rsidRPr="00F56A1D" w:rsidRDefault="000B5467" w:rsidP="0045335C">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93.</w:t>
            </w:r>
            <w:r w:rsidR="0045335C">
              <w:rPr>
                <w:rFonts w:ascii="Arial" w:eastAsia="Times New Roman" w:hAnsi="Arial" w:cs="Arial"/>
                <w:color w:val="000000"/>
                <w:sz w:val="19"/>
                <w:szCs w:val="19"/>
              </w:rPr>
              <w:t>5</w:t>
            </w:r>
            <w:r w:rsidRPr="00F56A1D">
              <w:rPr>
                <w:rFonts w:ascii="Arial" w:eastAsia="Times New Roman" w:hAnsi="Arial" w:cs="Arial"/>
                <w:color w:val="000000"/>
                <w:sz w:val="19"/>
                <w:szCs w:val="19"/>
              </w:rPr>
              <w:t xml:space="preserve"> (7</w:t>
            </w:r>
            <w:r w:rsidR="0045335C">
              <w:rPr>
                <w:rFonts w:ascii="Arial" w:eastAsia="Times New Roman" w:hAnsi="Arial" w:cs="Arial"/>
                <w:color w:val="000000"/>
                <w:sz w:val="19"/>
                <w:szCs w:val="19"/>
              </w:rPr>
              <w:t>8</w:t>
            </w:r>
            <w:r w:rsidRPr="00F56A1D">
              <w:rPr>
                <w:rFonts w:ascii="Arial" w:eastAsia="Times New Roman" w:hAnsi="Arial" w:cs="Arial"/>
                <w:color w:val="000000"/>
                <w:sz w:val="19"/>
                <w:szCs w:val="19"/>
              </w:rPr>
              <w:t>.</w:t>
            </w:r>
            <w:r w:rsidR="0045335C">
              <w:rPr>
                <w:rFonts w:ascii="Arial" w:eastAsia="Times New Roman" w:hAnsi="Arial" w:cs="Arial"/>
                <w:color w:val="000000"/>
                <w:sz w:val="19"/>
                <w:szCs w:val="19"/>
              </w:rPr>
              <w:t>6</w:t>
            </w:r>
            <w:r w:rsidRPr="00F56A1D">
              <w:rPr>
                <w:rFonts w:ascii="Arial" w:eastAsia="Times New Roman" w:hAnsi="Arial" w:cs="Arial"/>
                <w:color w:val="000000"/>
                <w:sz w:val="19"/>
                <w:szCs w:val="19"/>
              </w:rPr>
              <w:t xml:space="preserve"> – 99.2)</w:t>
            </w:r>
          </w:p>
        </w:tc>
        <w:tc>
          <w:tcPr>
            <w:tcW w:w="2845" w:type="dxa"/>
            <w:tcBorders>
              <w:top w:val="nil"/>
              <w:left w:val="nil"/>
              <w:bottom w:val="nil"/>
              <w:right w:val="nil"/>
            </w:tcBorders>
            <w:shd w:val="clear" w:color="auto" w:fill="FFFFFF"/>
            <w:tcMar>
              <w:left w:w="67" w:type="dxa"/>
              <w:right w:w="67" w:type="dxa"/>
            </w:tcMar>
          </w:tcPr>
          <w:p w:rsidR="000B5467" w:rsidRPr="00F56A1D" w:rsidRDefault="0045335C" w:rsidP="0045335C">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81.0</w:t>
            </w:r>
            <w:r w:rsidR="000B5467" w:rsidRPr="00F56A1D">
              <w:rPr>
                <w:rFonts w:ascii="Arial" w:eastAsia="Times New Roman" w:hAnsi="Arial" w:cs="Arial"/>
                <w:color w:val="000000"/>
                <w:sz w:val="19"/>
                <w:szCs w:val="19"/>
              </w:rPr>
              <w:t xml:space="preserve"> (5</w:t>
            </w:r>
            <w:r>
              <w:rPr>
                <w:rFonts w:ascii="Arial" w:eastAsia="Times New Roman" w:hAnsi="Arial" w:cs="Arial"/>
                <w:color w:val="000000"/>
                <w:sz w:val="19"/>
                <w:szCs w:val="19"/>
              </w:rPr>
              <w:t>8</w:t>
            </w:r>
            <w:r w:rsidR="000B5467" w:rsidRPr="00F56A1D">
              <w:rPr>
                <w:rFonts w:ascii="Arial" w:eastAsia="Times New Roman" w:hAnsi="Arial" w:cs="Arial"/>
                <w:color w:val="000000"/>
                <w:sz w:val="19"/>
                <w:szCs w:val="19"/>
              </w:rPr>
              <w:t>.</w:t>
            </w:r>
            <w:r>
              <w:rPr>
                <w:rFonts w:ascii="Arial" w:eastAsia="Times New Roman" w:hAnsi="Arial" w:cs="Arial"/>
                <w:color w:val="000000"/>
                <w:sz w:val="19"/>
                <w:szCs w:val="19"/>
              </w:rPr>
              <w:t>1</w:t>
            </w:r>
            <w:r w:rsidR="000B5467" w:rsidRPr="00F56A1D">
              <w:rPr>
                <w:rFonts w:ascii="Arial" w:eastAsia="Times New Roman" w:hAnsi="Arial" w:cs="Arial"/>
                <w:color w:val="000000"/>
                <w:sz w:val="19"/>
                <w:szCs w:val="19"/>
              </w:rPr>
              <w:t xml:space="preserve"> – </w:t>
            </w:r>
            <w:r>
              <w:rPr>
                <w:rFonts w:ascii="Arial" w:eastAsia="Times New Roman" w:hAnsi="Arial" w:cs="Arial"/>
                <w:color w:val="000000"/>
                <w:sz w:val="19"/>
                <w:szCs w:val="19"/>
              </w:rPr>
              <w:t>94</w:t>
            </w:r>
            <w:r w:rsidR="000B5467" w:rsidRPr="00F56A1D">
              <w:rPr>
                <w:rFonts w:ascii="Arial" w:eastAsia="Times New Roman" w:hAnsi="Arial" w:cs="Arial"/>
                <w:color w:val="000000"/>
                <w:sz w:val="19"/>
                <w:szCs w:val="19"/>
              </w:rPr>
              <w:t>.</w:t>
            </w:r>
            <w:r>
              <w:rPr>
                <w:rFonts w:ascii="Arial" w:eastAsia="Times New Roman" w:hAnsi="Arial" w:cs="Arial"/>
                <w:color w:val="000000"/>
                <w:sz w:val="19"/>
                <w:szCs w:val="19"/>
              </w:rPr>
              <w:t>6</w:t>
            </w:r>
            <w:r w:rsidR="000B5467" w:rsidRPr="00F56A1D">
              <w:rPr>
                <w:rFonts w:ascii="Arial" w:eastAsia="Times New Roman" w:hAnsi="Arial" w:cs="Arial"/>
                <w:color w:val="000000"/>
                <w:sz w:val="19"/>
                <w:szCs w:val="19"/>
              </w:rPr>
              <w:t>)</w:t>
            </w:r>
          </w:p>
        </w:tc>
      </w:tr>
      <w:tr w:rsidR="000B5467"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0B5467" w:rsidRPr="00127C7E" w:rsidRDefault="000B5467" w:rsidP="00E5145B">
            <w:pPr>
              <w:adjustRightInd w:val="0"/>
              <w:spacing w:before="67" w:after="67" w:line="480" w:lineRule="auto"/>
              <w:rPr>
                <w:rFonts w:ascii="Arial" w:eastAsia="Times New Roman" w:hAnsi="Arial" w:cs="Arial"/>
                <w:color w:val="000000"/>
                <w:sz w:val="19"/>
                <w:szCs w:val="19"/>
              </w:rPr>
            </w:pPr>
          </w:p>
        </w:tc>
        <w:tc>
          <w:tcPr>
            <w:tcW w:w="1994" w:type="dxa"/>
            <w:tcBorders>
              <w:top w:val="nil"/>
              <w:left w:val="nil"/>
              <w:bottom w:val="nil"/>
              <w:right w:val="nil"/>
            </w:tcBorders>
            <w:shd w:val="clear" w:color="auto" w:fill="FFFFFF"/>
            <w:tcMar>
              <w:left w:w="67" w:type="dxa"/>
              <w:right w:w="67" w:type="dxa"/>
            </w:tcMar>
          </w:tcPr>
          <w:p w:rsidR="000B5467" w:rsidRPr="00127C7E" w:rsidRDefault="000B5467" w:rsidP="00E5145B">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POC HbA1c ≥ 6.5%</w:t>
            </w:r>
          </w:p>
        </w:tc>
        <w:tc>
          <w:tcPr>
            <w:tcW w:w="2845" w:type="dxa"/>
            <w:tcBorders>
              <w:top w:val="nil"/>
              <w:left w:val="nil"/>
              <w:bottom w:val="nil"/>
              <w:right w:val="nil"/>
            </w:tcBorders>
            <w:shd w:val="clear" w:color="auto" w:fill="FFFFFF"/>
            <w:tcMar>
              <w:left w:w="67" w:type="dxa"/>
              <w:right w:w="67" w:type="dxa"/>
            </w:tcMar>
          </w:tcPr>
          <w:p w:rsidR="000B5467" w:rsidRPr="00F56A1D" w:rsidRDefault="000B5467" w:rsidP="00E5145B">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0B5467" w:rsidRPr="00F56A1D" w:rsidRDefault="000B5467" w:rsidP="0045335C">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93.</w:t>
            </w:r>
            <w:r w:rsidR="0045335C">
              <w:rPr>
                <w:rFonts w:ascii="Arial" w:eastAsia="Times New Roman" w:hAnsi="Arial" w:cs="Arial"/>
                <w:color w:val="000000"/>
                <w:sz w:val="19"/>
                <w:szCs w:val="19"/>
              </w:rPr>
              <w:t>5</w:t>
            </w:r>
            <w:r w:rsidRPr="00F56A1D">
              <w:rPr>
                <w:rFonts w:ascii="Arial" w:eastAsia="Times New Roman" w:hAnsi="Arial" w:cs="Arial"/>
                <w:color w:val="000000"/>
                <w:sz w:val="19"/>
                <w:szCs w:val="19"/>
              </w:rPr>
              <w:t xml:space="preserve"> (7</w:t>
            </w:r>
            <w:r w:rsidR="0045335C">
              <w:rPr>
                <w:rFonts w:ascii="Arial" w:eastAsia="Times New Roman" w:hAnsi="Arial" w:cs="Arial"/>
                <w:color w:val="000000"/>
                <w:sz w:val="19"/>
                <w:szCs w:val="19"/>
              </w:rPr>
              <w:t>8</w:t>
            </w:r>
            <w:r w:rsidRPr="00F56A1D">
              <w:rPr>
                <w:rFonts w:ascii="Arial" w:eastAsia="Times New Roman" w:hAnsi="Arial" w:cs="Arial"/>
                <w:color w:val="000000"/>
                <w:sz w:val="19"/>
                <w:szCs w:val="19"/>
              </w:rPr>
              <w:t>.</w:t>
            </w:r>
            <w:r w:rsidR="0045335C">
              <w:rPr>
                <w:rFonts w:ascii="Arial" w:eastAsia="Times New Roman" w:hAnsi="Arial" w:cs="Arial"/>
                <w:color w:val="000000"/>
                <w:sz w:val="19"/>
                <w:szCs w:val="19"/>
              </w:rPr>
              <w:t>6</w:t>
            </w:r>
            <w:r w:rsidRPr="00F56A1D">
              <w:rPr>
                <w:rFonts w:ascii="Arial" w:eastAsia="Times New Roman" w:hAnsi="Arial" w:cs="Arial"/>
                <w:color w:val="000000"/>
                <w:sz w:val="19"/>
                <w:szCs w:val="19"/>
              </w:rPr>
              <w:t xml:space="preserve"> – 99.2)</w:t>
            </w:r>
          </w:p>
        </w:tc>
        <w:tc>
          <w:tcPr>
            <w:tcW w:w="2845" w:type="dxa"/>
            <w:tcBorders>
              <w:top w:val="nil"/>
              <w:left w:val="nil"/>
              <w:bottom w:val="nil"/>
              <w:right w:val="nil"/>
            </w:tcBorders>
            <w:shd w:val="clear" w:color="auto" w:fill="FFFFFF"/>
            <w:tcMar>
              <w:left w:w="67" w:type="dxa"/>
              <w:right w:w="67" w:type="dxa"/>
            </w:tcMar>
          </w:tcPr>
          <w:p w:rsidR="000B5467" w:rsidRPr="00F56A1D" w:rsidRDefault="000B5467" w:rsidP="0045335C">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100.0 (8</w:t>
            </w:r>
            <w:r w:rsidR="0045335C">
              <w:rPr>
                <w:rFonts w:ascii="Arial" w:eastAsia="Times New Roman" w:hAnsi="Arial" w:cs="Arial"/>
                <w:color w:val="000000"/>
                <w:sz w:val="19"/>
                <w:szCs w:val="19"/>
              </w:rPr>
              <w:t>3</w:t>
            </w:r>
            <w:r w:rsidRPr="00F56A1D">
              <w:rPr>
                <w:rFonts w:ascii="Arial" w:eastAsia="Times New Roman" w:hAnsi="Arial" w:cs="Arial"/>
                <w:color w:val="000000"/>
                <w:sz w:val="19"/>
                <w:szCs w:val="19"/>
              </w:rPr>
              <w:t>.</w:t>
            </w:r>
            <w:r w:rsidR="0045335C">
              <w:rPr>
                <w:rFonts w:ascii="Arial" w:eastAsia="Times New Roman" w:hAnsi="Arial" w:cs="Arial"/>
                <w:color w:val="000000"/>
                <w:sz w:val="19"/>
                <w:szCs w:val="19"/>
              </w:rPr>
              <w:t>9</w:t>
            </w:r>
            <w:r w:rsidRPr="00F56A1D">
              <w:rPr>
                <w:rFonts w:ascii="Arial" w:eastAsia="Times New Roman" w:hAnsi="Arial" w:cs="Arial"/>
                <w:color w:val="000000"/>
                <w:sz w:val="19"/>
                <w:szCs w:val="19"/>
              </w:rPr>
              <w:t xml:space="preserve"> – 100.0)</w:t>
            </w: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Default="0045335C" w:rsidP="0045335C">
            <w:pPr>
              <w:adjustRightInd w:val="0"/>
              <w:spacing w:before="67" w:after="67" w:line="480" w:lineRule="auto"/>
              <w:rPr>
                <w:rFonts w:ascii="Arial" w:eastAsia="Times New Roman" w:hAnsi="Arial" w:cs="Arial"/>
                <w:color w:val="000000"/>
                <w:sz w:val="19"/>
                <w:szCs w:val="19"/>
              </w:rPr>
            </w:pPr>
          </w:p>
          <w:p w:rsidR="0045335C" w:rsidRPr="00127C7E" w:rsidRDefault="0045335C" w:rsidP="0045335C">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POC HbA1c</w:t>
            </w:r>
          </w:p>
        </w:tc>
        <w:tc>
          <w:tcPr>
            <w:tcW w:w="1994" w:type="dxa"/>
            <w:tcBorders>
              <w:top w:val="nil"/>
              <w:left w:val="nil"/>
              <w:bottom w:val="nil"/>
              <w:right w:val="nil"/>
            </w:tcBorders>
            <w:shd w:val="clear" w:color="auto" w:fill="FFFFFF"/>
            <w:tcMar>
              <w:left w:w="67" w:type="dxa"/>
              <w:right w:w="67" w:type="dxa"/>
            </w:tcMar>
          </w:tcPr>
          <w:p w:rsidR="0045335C" w:rsidRDefault="0045335C" w:rsidP="0045335C">
            <w:pPr>
              <w:adjustRightInd w:val="0"/>
              <w:spacing w:before="67" w:after="67" w:line="480" w:lineRule="auto"/>
              <w:rPr>
                <w:rFonts w:ascii="Arial" w:eastAsia="Times New Roman" w:hAnsi="Arial" w:cs="Arial"/>
                <w:color w:val="000000"/>
                <w:sz w:val="19"/>
                <w:szCs w:val="19"/>
              </w:rPr>
            </w:pPr>
          </w:p>
          <w:p w:rsidR="0045335C" w:rsidRPr="00127C7E" w:rsidRDefault="0045335C" w:rsidP="002A3070">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 xml:space="preserve">≥ </w:t>
            </w:r>
            <w:r w:rsidR="002A3070">
              <w:rPr>
                <w:rFonts w:ascii="Arial" w:eastAsia="Times New Roman" w:hAnsi="Arial" w:cs="Arial"/>
                <w:color w:val="000000"/>
                <w:sz w:val="19"/>
                <w:szCs w:val="19"/>
              </w:rPr>
              <w:t>5</w:t>
            </w:r>
            <w:r w:rsidRPr="00127C7E">
              <w:rPr>
                <w:rFonts w:ascii="Arial" w:eastAsia="Times New Roman" w:hAnsi="Arial" w:cs="Arial"/>
                <w:color w:val="000000"/>
                <w:sz w:val="19"/>
                <w:szCs w:val="19"/>
              </w:rPr>
              <w:t>.</w:t>
            </w:r>
            <w:r w:rsidR="002A3070">
              <w:rPr>
                <w:rFonts w:ascii="Arial" w:eastAsia="Times New Roman" w:hAnsi="Arial" w:cs="Arial"/>
                <w:color w:val="000000"/>
                <w:sz w:val="19"/>
                <w:szCs w:val="19"/>
              </w:rPr>
              <w:t>7</w:t>
            </w:r>
            <w:r w:rsidRPr="00127C7E">
              <w:rPr>
                <w:rFonts w:ascii="Arial" w:eastAsia="Times New Roman" w:hAnsi="Arial" w:cs="Arial"/>
                <w:color w:val="000000"/>
                <w:sz w:val="19"/>
                <w:szCs w:val="19"/>
              </w:rPr>
              <w:t>%</w:t>
            </w:r>
          </w:p>
        </w:tc>
        <w:tc>
          <w:tcPr>
            <w:tcW w:w="2845" w:type="dxa"/>
            <w:tcBorders>
              <w:top w:val="nil"/>
              <w:left w:val="nil"/>
              <w:bottom w:val="nil"/>
              <w:right w:val="nil"/>
            </w:tcBorders>
            <w:shd w:val="clear" w:color="auto" w:fill="FFFFFF"/>
            <w:tcMar>
              <w:left w:w="67" w:type="dxa"/>
              <w:right w:w="67" w:type="dxa"/>
            </w:tcMar>
          </w:tcPr>
          <w:p w:rsidR="0045335C" w:rsidRDefault="0045335C" w:rsidP="0045335C">
            <w:pPr>
              <w:adjustRightInd w:val="0"/>
              <w:spacing w:before="67" w:after="67" w:line="480" w:lineRule="auto"/>
              <w:jc w:val="center"/>
              <w:rPr>
                <w:rFonts w:ascii="Arial" w:eastAsia="Times New Roman" w:hAnsi="Arial" w:cs="Arial"/>
                <w:color w:val="000000"/>
                <w:sz w:val="19"/>
                <w:szCs w:val="19"/>
              </w:rPr>
            </w:pPr>
          </w:p>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0.9</w:t>
            </w:r>
            <w:r>
              <w:rPr>
                <w:rFonts w:ascii="Arial" w:eastAsia="Times New Roman" w:hAnsi="Arial" w:cs="Arial"/>
                <w:color w:val="000000"/>
                <w:sz w:val="19"/>
                <w:szCs w:val="19"/>
              </w:rPr>
              <w:t>9</w:t>
            </w:r>
            <w:r w:rsidRPr="00F56A1D">
              <w:rPr>
                <w:rFonts w:ascii="Arial" w:eastAsia="Times New Roman" w:hAnsi="Arial" w:cs="Arial"/>
                <w:color w:val="000000"/>
                <w:sz w:val="19"/>
                <w:szCs w:val="19"/>
              </w:rPr>
              <w:t xml:space="preserve"> (0.92 – 1.0)</w:t>
            </w:r>
          </w:p>
        </w:tc>
        <w:tc>
          <w:tcPr>
            <w:tcW w:w="2845" w:type="dxa"/>
            <w:tcBorders>
              <w:top w:val="nil"/>
              <w:left w:val="nil"/>
              <w:bottom w:val="nil"/>
              <w:right w:val="nil"/>
            </w:tcBorders>
            <w:shd w:val="clear" w:color="auto" w:fill="FFFFFF"/>
            <w:tcMar>
              <w:left w:w="67" w:type="dxa"/>
              <w:right w:w="67" w:type="dxa"/>
            </w:tcMar>
          </w:tcPr>
          <w:p w:rsidR="0045335C" w:rsidRDefault="0045335C" w:rsidP="0045335C">
            <w:pPr>
              <w:adjustRightInd w:val="0"/>
              <w:spacing w:before="67" w:after="67" w:line="480" w:lineRule="auto"/>
              <w:jc w:val="center"/>
              <w:rPr>
                <w:rFonts w:ascii="Arial" w:eastAsia="Times New Roman" w:hAnsi="Arial" w:cs="Arial"/>
                <w:color w:val="000000"/>
                <w:sz w:val="19"/>
                <w:szCs w:val="19"/>
              </w:rPr>
            </w:pPr>
          </w:p>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96.</w:t>
            </w:r>
            <w:r>
              <w:rPr>
                <w:rFonts w:ascii="Arial" w:eastAsia="Times New Roman" w:hAnsi="Arial" w:cs="Arial"/>
                <w:color w:val="000000"/>
                <w:sz w:val="19"/>
                <w:szCs w:val="19"/>
              </w:rPr>
              <w:t>8</w:t>
            </w:r>
            <w:r w:rsidRPr="00F56A1D">
              <w:rPr>
                <w:rFonts w:ascii="Arial" w:eastAsia="Times New Roman" w:hAnsi="Arial" w:cs="Arial"/>
                <w:color w:val="000000"/>
                <w:sz w:val="19"/>
                <w:szCs w:val="19"/>
              </w:rPr>
              <w:t xml:space="preserve"> (83.8 - 99.9)</w:t>
            </w:r>
          </w:p>
        </w:tc>
        <w:tc>
          <w:tcPr>
            <w:tcW w:w="2845" w:type="dxa"/>
            <w:tcBorders>
              <w:top w:val="nil"/>
              <w:left w:val="nil"/>
              <w:bottom w:val="nil"/>
              <w:right w:val="nil"/>
            </w:tcBorders>
            <w:shd w:val="clear" w:color="auto" w:fill="FFFFFF"/>
            <w:tcMar>
              <w:left w:w="67" w:type="dxa"/>
              <w:right w:w="67" w:type="dxa"/>
            </w:tcMar>
          </w:tcPr>
          <w:p w:rsidR="0045335C" w:rsidRDefault="0045335C" w:rsidP="0045335C">
            <w:pPr>
              <w:adjustRightInd w:val="0"/>
              <w:spacing w:before="67" w:after="67" w:line="480" w:lineRule="auto"/>
              <w:jc w:val="center"/>
              <w:rPr>
                <w:rFonts w:ascii="Arial" w:eastAsia="Times New Roman" w:hAnsi="Arial" w:cs="Arial"/>
                <w:color w:val="000000"/>
                <w:sz w:val="19"/>
                <w:szCs w:val="19"/>
              </w:rPr>
            </w:pPr>
          </w:p>
          <w:p w:rsidR="0045335C" w:rsidRPr="00F56A1D"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56.2 (29.8-74.3)</w:t>
            </w: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p>
        </w:tc>
        <w:tc>
          <w:tcPr>
            <w:tcW w:w="1994" w:type="dxa"/>
            <w:tcBorders>
              <w:top w:val="nil"/>
              <w:left w:val="nil"/>
              <w:bottom w:val="nil"/>
              <w:right w:val="nil"/>
            </w:tcBorders>
            <w:shd w:val="clear" w:color="auto" w:fill="FFFFFF"/>
            <w:tcMar>
              <w:left w:w="67" w:type="dxa"/>
              <w:right w:w="67" w:type="dxa"/>
            </w:tcMar>
          </w:tcPr>
          <w:p w:rsidR="0045335C" w:rsidRPr="00127C7E" w:rsidRDefault="0045335C" w:rsidP="002A3070">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 6.</w:t>
            </w:r>
            <w:r w:rsidR="002A3070">
              <w:rPr>
                <w:rFonts w:ascii="Arial" w:eastAsia="Times New Roman" w:hAnsi="Arial" w:cs="Arial"/>
                <w:color w:val="000000"/>
                <w:sz w:val="19"/>
                <w:szCs w:val="19"/>
              </w:rPr>
              <w:t>2</w:t>
            </w:r>
            <w:r w:rsidRPr="00127C7E">
              <w:rPr>
                <w:rFonts w:ascii="Arial" w:eastAsia="Times New Roman" w:hAnsi="Arial" w:cs="Arial"/>
                <w:color w:val="000000"/>
                <w:sz w:val="19"/>
                <w:szCs w:val="19"/>
              </w:rPr>
              <w:t>%</w:t>
            </w: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2A3070">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9</w:t>
            </w:r>
            <w:r w:rsidR="002A3070">
              <w:rPr>
                <w:rFonts w:ascii="Arial" w:eastAsia="Times New Roman" w:hAnsi="Arial" w:cs="Arial"/>
                <w:color w:val="000000"/>
                <w:sz w:val="19"/>
                <w:szCs w:val="19"/>
              </w:rPr>
              <w:t>6</w:t>
            </w:r>
            <w:r w:rsidRPr="00F56A1D">
              <w:rPr>
                <w:rFonts w:ascii="Arial" w:eastAsia="Times New Roman" w:hAnsi="Arial" w:cs="Arial"/>
                <w:color w:val="000000"/>
                <w:sz w:val="19"/>
                <w:szCs w:val="19"/>
              </w:rPr>
              <w:t>.</w:t>
            </w:r>
            <w:r w:rsidR="002A3070">
              <w:rPr>
                <w:rFonts w:ascii="Arial" w:eastAsia="Times New Roman" w:hAnsi="Arial" w:cs="Arial"/>
                <w:color w:val="000000"/>
                <w:sz w:val="19"/>
                <w:szCs w:val="19"/>
              </w:rPr>
              <w:t>8</w:t>
            </w:r>
            <w:r w:rsidRPr="00F56A1D">
              <w:rPr>
                <w:rFonts w:ascii="Arial" w:eastAsia="Times New Roman" w:hAnsi="Arial" w:cs="Arial"/>
                <w:color w:val="000000"/>
                <w:sz w:val="19"/>
                <w:szCs w:val="19"/>
              </w:rPr>
              <w:t xml:space="preserve"> (</w:t>
            </w:r>
            <w:r w:rsidR="002A3070">
              <w:rPr>
                <w:rFonts w:ascii="Arial" w:eastAsia="Times New Roman" w:hAnsi="Arial" w:cs="Arial"/>
                <w:color w:val="000000"/>
                <w:sz w:val="19"/>
                <w:szCs w:val="19"/>
              </w:rPr>
              <w:t>83.3</w:t>
            </w:r>
            <w:r w:rsidRPr="00F56A1D">
              <w:rPr>
                <w:rFonts w:ascii="Arial" w:eastAsia="Times New Roman" w:hAnsi="Arial" w:cs="Arial"/>
                <w:color w:val="000000"/>
                <w:sz w:val="19"/>
                <w:szCs w:val="19"/>
              </w:rPr>
              <w:t xml:space="preserve"> - 99.</w:t>
            </w:r>
            <w:r w:rsidR="002A3070">
              <w:rPr>
                <w:rFonts w:ascii="Arial" w:eastAsia="Times New Roman" w:hAnsi="Arial" w:cs="Arial"/>
                <w:color w:val="000000"/>
                <w:sz w:val="19"/>
                <w:szCs w:val="19"/>
              </w:rPr>
              <w:t>9</w:t>
            </w:r>
            <w:r w:rsidRPr="00F56A1D">
              <w:rPr>
                <w:rFonts w:ascii="Arial" w:eastAsia="Times New Roman" w:hAnsi="Arial" w:cs="Arial"/>
                <w:color w:val="000000"/>
                <w:sz w:val="19"/>
                <w:szCs w:val="19"/>
              </w:rPr>
              <w:t>)</w:t>
            </w:r>
          </w:p>
        </w:tc>
        <w:tc>
          <w:tcPr>
            <w:tcW w:w="2845" w:type="dxa"/>
            <w:tcBorders>
              <w:top w:val="nil"/>
              <w:left w:val="nil"/>
              <w:bottom w:val="nil"/>
              <w:right w:val="nil"/>
            </w:tcBorders>
            <w:shd w:val="clear" w:color="auto" w:fill="FFFFFF"/>
            <w:tcMar>
              <w:left w:w="67" w:type="dxa"/>
              <w:right w:w="67" w:type="dxa"/>
            </w:tcMar>
          </w:tcPr>
          <w:p w:rsidR="0045335C" w:rsidRPr="00F56A1D" w:rsidRDefault="002A3070" w:rsidP="002A3070">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76.</w:t>
            </w:r>
            <w:r>
              <w:rPr>
                <w:rFonts w:ascii="Arial" w:eastAsia="Times New Roman" w:hAnsi="Arial" w:cs="Arial"/>
                <w:color w:val="000000"/>
                <w:sz w:val="19"/>
                <w:szCs w:val="19"/>
              </w:rPr>
              <w:t>2</w:t>
            </w:r>
            <w:r w:rsidRPr="00F56A1D">
              <w:rPr>
                <w:rFonts w:ascii="Arial" w:eastAsia="Times New Roman" w:hAnsi="Arial" w:cs="Arial"/>
                <w:color w:val="000000"/>
                <w:sz w:val="19"/>
                <w:szCs w:val="19"/>
              </w:rPr>
              <w:t xml:space="preserve"> (5</w:t>
            </w:r>
            <w:r>
              <w:rPr>
                <w:rFonts w:ascii="Arial" w:eastAsia="Times New Roman" w:hAnsi="Arial" w:cs="Arial"/>
                <w:color w:val="000000"/>
                <w:sz w:val="19"/>
                <w:szCs w:val="19"/>
              </w:rPr>
              <w:t>2</w:t>
            </w:r>
            <w:r w:rsidRPr="00F56A1D">
              <w:rPr>
                <w:rFonts w:ascii="Arial" w:eastAsia="Times New Roman" w:hAnsi="Arial" w:cs="Arial"/>
                <w:color w:val="000000"/>
                <w:sz w:val="19"/>
                <w:szCs w:val="19"/>
              </w:rPr>
              <w:t>.</w:t>
            </w:r>
            <w:r>
              <w:rPr>
                <w:rFonts w:ascii="Arial" w:eastAsia="Times New Roman" w:hAnsi="Arial" w:cs="Arial"/>
                <w:color w:val="000000"/>
                <w:sz w:val="19"/>
                <w:szCs w:val="19"/>
              </w:rPr>
              <w:t>8</w:t>
            </w:r>
            <w:r w:rsidRPr="00F56A1D">
              <w:rPr>
                <w:rFonts w:ascii="Arial" w:eastAsia="Times New Roman" w:hAnsi="Arial" w:cs="Arial"/>
                <w:color w:val="000000"/>
                <w:sz w:val="19"/>
                <w:szCs w:val="19"/>
              </w:rPr>
              <w:t xml:space="preserve"> – 91.</w:t>
            </w:r>
            <w:r>
              <w:rPr>
                <w:rFonts w:ascii="Arial" w:eastAsia="Times New Roman" w:hAnsi="Arial" w:cs="Arial"/>
                <w:color w:val="000000"/>
                <w:sz w:val="19"/>
                <w:szCs w:val="19"/>
              </w:rPr>
              <w:t>8</w:t>
            </w:r>
            <w:r w:rsidRPr="00F56A1D">
              <w:rPr>
                <w:rFonts w:ascii="Arial" w:eastAsia="Times New Roman" w:hAnsi="Arial" w:cs="Arial"/>
                <w:color w:val="000000"/>
                <w:sz w:val="19"/>
                <w:szCs w:val="19"/>
              </w:rPr>
              <w:t>)</w:t>
            </w: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p>
        </w:tc>
        <w:tc>
          <w:tcPr>
            <w:tcW w:w="1994" w:type="dxa"/>
            <w:tcBorders>
              <w:top w:val="nil"/>
              <w:left w:val="nil"/>
              <w:bottom w:val="nil"/>
              <w:right w:val="nil"/>
            </w:tcBorders>
            <w:shd w:val="clear" w:color="auto" w:fill="FFFFFF"/>
            <w:tcMar>
              <w:left w:w="67" w:type="dxa"/>
              <w:right w:w="67" w:type="dxa"/>
            </w:tcMar>
          </w:tcPr>
          <w:p w:rsidR="0045335C" w:rsidRPr="00127C7E" w:rsidRDefault="0045335C" w:rsidP="002A3070">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w:t>
            </w:r>
            <w:r>
              <w:rPr>
                <w:rFonts w:ascii="Arial" w:eastAsia="Times New Roman" w:hAnsi="Arial" w:cs="Arial"/>
                <w:color w:val="000000"/>
                <w:sz w:val="19"/>
                <w:szCs w:val="19"/>
              </w:rPr>
              <w:t xml:space="preserve"> </w:t>
            </w:r>
            <w:r w:rsidR="002A3070">
              <w:rPr>
                <w:rFonts w:ascii="Arial" w:eastAsia="Times New Roman" w:hAnsi="Arial" w:cs="Arial"/>
                <w:color w:val="000000"/>
                <w:sz w:val="19"/>
                <w:szCs w:val="19"/>
              </w:rPr>
              <w:t>6</w:t>
            </w:r>
            <w:r>
              <w:rPr>
                <w:rFonts w:ascii="Arial" w:eastAsia="Times New Roman" w:hAnsi="Arial" w:cs="Arial"/>
                <w:color w:val="000000"/>
                <w:sz w:val="19"/>
                <w:szCs w:val="19"/>
              </w:rPr>
              <w:t>.</w:t>
            </w:r>
            <w:r w:rsidR="002A3070">
              <w:rPr>
                <w:rFonts w:ascii="Arial" w:eastAsia="Times New Roman" w:hAnsi="Arial" w:cs="Arial"/>
                <w:color w:val="000000"/>
                <w:sz w:val="19"/>
                <w:szCs w:val="19"/>
              </w:rPr>
              <w:t>5</w:t>
            </w:r>
            <w:r>
              <w:rPr>
                <w:rFonts w:ascii="Arial" w:eastAsia="Times New Roman" w:hAnsi="Arial" w:cs="Arial"/>
                <w:color w:val="000000"/>
                <w:sz w:val="19"/>
                <w:szCs w:val="19"/>
              </w:rPr>
              <w:t>%</w:t>
            </w: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9</w:t>
            </w:r>
            <w:r w:rsidR="002A3070">
              <w:rPr>
                <w:rFonts w:ascii="Arial" w:eastAsia="Times New Roman" w:hAnsi="Arial" w:cs="Arial"/>
                <w:color w:val="000000"/>
                <w:sz w:val="19"/>
                <w:szCs w:val="19"/>
              </w:rPr>
              <w:t>3</w:t>
            </w:r>
            <w:r w:rsidRPr="00F56A1D">
              <w:rPr>
                <w:rFonts w:ascii="Arial" w:eastAsia="Times New Roman" w:hAnsi="Arial" w:cs="Arial"/>
                <w:color w:val="000000"/>
                <w:sz w:val="19"/>
                <w:szCs w:val="19"/>
              </w:rPr>
              <w:t>.</w:t>
            </w:r>
            <w:r w:rsidR="002A3070">
              <w:rPr>
                <w:rFonts w:ascii="Arial" w:eastAsia="Times New Roman" w:hAnsi="Arial" w:cs="Arial"/>
                <w:color w:val="000000"/>
                <w:sz w:val="19"/>
                <w:szCs w:val="19"/>
              </w:rPr>
              <w:t>5</w:t>
            </w:r>
            <w:r w:rsidRPr="00F56A1D">
              <w:rPr>
                <w:rFonts w:ascii="Arial" w:eastAsia="Times New Roman" w:hAnsi="Arial" w:cs="Arial"/>
                <w:color w:val="000000"/>
                <w:sz w:val="19"/>
                <w:szCs w:val="19"/>
              </w:rPr>
              <w:t xml:space="preserve"> (7</w:t>
            </w:r>
            <w:r w:rsidR="002A3070">
              <w:rPr>
                <w:rFonts w:ascii="Arial" w:eastAsia="Times New Roman" w:hAnsi="Arial" w:cs="Arial"/>
                <w:color w:val="000000"/>
                <w:sz w:val="19"/>
                <w:szCs w:val="19"/>
              </w:rPr>
              <w:t>8</w:t>
            </w:r>
            <w:r w:rsidRPr="00F56A1D">
              <w:rPr>
                <w:rFonts w:ascii="Arial" w:eastAsia="Times New Roman" w:hAnsi="Arial" w:cs="Arial"/>
                <w:color w:val="000000"/>
                <w:sz w:val="19"/>
                <w:szCs w:val="19"/>
              </w:rPr>
              <w:t>.</w:t>
            </w:r>
            <w:r w:rsidR="002A3070">
              <w:rPr>
                <w:rFonts w:ascii="Arial" w:eastAsia="Times New Roman" w:hAnsi="Arial" w:cs="Arial"/>
                <w:color w:val="000000"/>
                <w:sz w:val="19"/>
                <w:szCs w:val="19"/>
              </w:rPr>
              <w:t>6</w:t>
            </w:r>
            <w:r w:rsidRPr="00F56A1D">
              <w:rPr>
                <w:rFonts w:ascii="Arial" w:eastAsia="Times New Roman" w:hAnsi="Arial" w:cs="Arial"/>
                <w:color w:val="000000"/>
                <w:sz w:val="19"/>
                <w:szCs w:val="19"/>
              </w:rPr>
              <w:t xml:space="preserve"> – 9</w:t>
            </w:r>
            <w:r w:rsidR="002A3070">
              <w:rPr>
                <w:rFonts w:ascii="Arial" w:eastAsia="Times New Roman" w:hAnsi="Arial" w:cs="Arial"/>
                <w:color w:val="000000"/>
                <w:sz w:val="19"/>
                <w:szCs w:val="19"/>
              </w:rPr>
              <w:t>9</w:t>
            </w:r>
            <w:r w:rsidRPr="00F56A1D">
              <w:rPr>
                <w:rFonts w:ascii="Arial" w:eastAsia="Times New Roman" w:hAnsi="Arial" w:cs="Arial"/>
                <w:color w:val="000000"/>
                <w:sz w:val="19"/>
                <w:szCs w:val="19"/>
              </w:rPr>
              <w:t>.</w:t>
            </w:r>
            <w:r w:rsidR="002A3070">
              <w:rPr>
                <w:rFonts w:ascii="Arial" w:eastAsia="Times New Roman" w:hAnsi="Arial" w:cs="Arial"/>
                <w:color w:val="000000"/>
                <w:sz w:val="19"/>
                <w:szCs w:val="19"/>
              </w:rPr>
              <w:t>2</w:t>
            </w:r>
            <w:r w:rsidRPr="00F56A1D">
              <w:rPr>
                <w:rFonts w:ascii="Arial" w:eastAsia="Times New Roman" w:hAnsi="Arial" w:cs="Arial"/>
                <w:color w:val="000000"/>
                <w:sz w:val="19"/>
                <w:szCs w:val="19"/>
              </w:rPr>
              <w:t>)</w:t>
            </w:r>
          </w:p>
        </w:tc>
        <w:tc>
          <w:tcPr>
            <w:tcW w:w="2845" w:type="dxa"/>
            <w:tcBorders>
              <w:top w:val="nil"/>
              <w:left w:val="nil"/>
              <w:bottom w:val="nil"/>
              <w:right w:val="nil"/>
            </w:tcBorders>
            <w:shd w:val="clear" w:color="auto" w:fill="FFFFFF"/>
            <w:tcMar>
              <w:left w:w="67" w:type="dxa"/>
              <w:right w:w="67" w:type="dxa"/>
            </w:tcMar>
          </w:tcPr>
          <w:p w:rsidR="0045335C" w:rsidRPr="00F56A1D"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90</w:t>
            </w:r>
            <w:r w:rsidR="0045335C" w:rsidRPr="00F56A1D">
              <w:rPr>
                <w:rFonts w:ascii="Arial" w:eastAsia="Times New Roman" w:hAnsi="Arial" w:cs="Arial"/>
                <w:color w:val="000000"/>
                <w:sz w:val="19"/>
                <w:szCs w:val="19"/>
              </w:rPr>
              <w:t>.</w:t>
            </w:r>
            <w:r>
              <w:rPr>
                <w:rFonts w:ascii="Arial" w:eastAsia="Times New Roman" w:hAnsi="Arial" w:cs="Arial"/>
                <w:color w:val="000000"/>
                <w:sz w:val="19"/>
                <w:szCs w:val="19"/>
              </w:rPr>
              <w:t>5</w:t>
            </w:r>
            <w:r w:rsidR="0045335C" w:rsidRPr="00F56A1D">
              <w:rPr>
                <w:rFonts w:ascii="Arial" w:eastAsia="Times New Roman" w:hAnsi="Arial" w:cs="Arial"/>
                <w:color w:val="000000"/>
                <w:sz w:val="19"/>
                <w:szCs w:val="19"/>
              </w:rPr>
              <w:t xml:space="preserve"> (</w:t>
            </w:r>
            <w:r>
              <w:rPr>
                <w:rFonts w:ascii="Arial" w:eastAsia="Times New Roman" w:hAnsi="Arial" w:cs="Arial"/>
                <w:color w:val="000000"/>
                <w:sz w:val="19"/>
                <w:szCs w:val="19"/>
              </w:rPr>
              <w:t>69.6</w:t>
            </w:r>
            <w:r w:rsidR="0045335C" w:rsidRPr="00F56A1D">
              <w:rPr>
                <w:rFonts w:ascii="Arial" w:eastAsia="Times New Roman" w:hAnsi="Arial" w:cs="Arial"/>
                <w:color w:val="000000"/>
                <w:sz w:val="19"/>
                <w:szCs w:val="19"/>
              </w:rPr>
              <w:t xml:space="preserve"> – </w:t>
            </w:r>
            <w:r>
              <w:rPr>
                <w:rFonts w:ascii="Arial" w:eastAsia="Times New Roman" w:hAnsi="Arial" w:cs="Arial"/>
                <w:color w:val="000000"/>
                <w:sz w:val="19"/>
                <w:szCs w:val="19"/>
              </w:rPr>
              <w:t>98</w:t>
            </w:r>
            <w:r w:rsidR="0045335C" w:rsidRPr="00F56A1D">
              <w:rPr>
                <w:rFonts w:ascii="Arial" w:eastAsia="Times New Roman" w:hAnsi="Arial" w:cs="Arial"/>
                <w:color w:val="000000"/>
                <w:sz w:val="19"/>
                <w:szCs w:val="19"/>
              </w:rPr>
              <w:t>.</w:t>
            </w:r>
            <w:r>
              <w:rPr>
                <w:rFonts w:ascii="Arial" w:eastAsia="Times New Roman" w:hAnsi="Arial" w:cs="Arial"/>
                <w:color w:val="000000"/>
                <w:sz w:val="19"/>
                <w:szCs w:val="19"/>
              </w:rPr>
              <w:t>8</w:t>
            </w:r>
            <w:r w:rsidR="0045335C" w:rsidRPr="00F56A1D">
              <w:rPr>
                <w:rFonts w:ascii="Arial" w:eastAsia="Times New Roman" w:hAnsi="Arial" w:cs="Arial"/>
                <w:color w:val="000000"/>
                <w:sz w:val="19"/>
                <w:szCs w:val="19"/>
              </w:rPr>
              <w:t>)</w:t>
            </w: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p>
        </w:tc>
        <w:tc>
          <w:tcPr>
            <w:tcW w:w="1994"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Pr="00F56A1D" w:rsidRDefault="0045335C" w:rsidP="0045335C">
            <w:pPr>
              <w:adjustRightInd w:val="0"/>
              <w:spacing w:before="67" w:after="67" w:line="480" w:lineRule="auto"/>
              <w:jc w:val="center"/>
              <w:rPr>
                <w:rFonts w:ascii="Arial" w:eastAsia="Times New Roman" w:hAnsi="Arial" w:cs="Arial"/>
                <w:color w:val="000000"/>
                <w:sz w:val="19"/>
                <w:szCs w:val="19"/>
              </w:rPr>
            </w:pP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RPG</w:t>
            </w:r>
          </w:p>
        </w:tc>
        <w:tc>
          <w:tcPr>
            <w:tcW w:w="1994" w:type="dxa"/>
            <w:tcBorders>
              <w:top w:val="nil"/>
              <w:left w:val="nil"/>
              <w:bottom w:val="nil"/>
              <w:right w:val="nil"/>
            </w:tcBorders>
            <w:shd w:val="clear" w:color="auto" w:fill="FFFFFF"/>
            <w:tcMar>
              <w:left w:w="67" w:type="dxa"/>
              <w:right w:w="67" w:type="dxa"/>
            </w:tcMar>
          </w:tcPr>
          <w:p w:rsidR="002A3070" w:rsidRDefault="002A3070" w:rsidP="0045335C">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w:t>
            </w:r>
            <w:r>
              <w:rPr>
                <w:rFonts w:ascii="Arial" w:eastAsia="Times New Roman" w:hAnsi="Arial" w:cs="Arial"/>
                <w:color w:val="000000"/>
                <w:sz w:val="19"/>
                <w:szCs w:val="19"/>
              </w:rPr>
              <w:t xml:space="preserve"> 5.3mmol/l</w:t>
            </w:r>
          </w:p>
          <w:p w:rsidR="0045335C" w:rsidRPr="00127C7E" w:rsidRDefault="0045335C" w:rsidP="0045335C">
            <w:pPr>
              <w:adjustRightInd w:val="0"/>
              <w:spacing w:before="67" w:after="67" w:line="480" w:lineRule="auto"/>
              <w:rPr>
                <w:rFonts w:ascii="Arial" w:eastAsia="Times New Roman" w:hAnsi="Arial" w:cs="Arial"/>
                <w:color w:val="000000"/>
                <w:sz w:val="19"/>
                <w:szCs w:val="19"/>
              </w:rPr>
            </w:pPr>
            <w:r w:rsidRPr="00127C7E">
              <w:rPr>
                <w:rFonts w:ascii="Arial" w:eastAsia="Times New Roman" w:hAnsi="Arial" w:cs="Arial"/>
                <w:color w:val="000000"/>
                <w:sz w:val="19"/>
                <w:szCs w:val="19"/>
              </w:rPr>
              <w:t>≥ 6.9mmol/l</w:t>
            </w:r>
          </w:p>
        </w:tc>
        <w:tc>
          <w:tcPr>
            <w:tcW w:w="2845" w:type="dxa"/>
            <w:tcBorders>
              <w:top w:val="nil"/>
              <w:left w:val="nil"/>
              <w:bottom w:val="nil"/>
              <w:right w:val="nil"/>
            </w:tcBorders>
            <w:shd w:val="clear" w:color="auto" w:fill="FFFFFF"/>
            <w:tcMar>
              <w:left w:w="67" w:type="dxa"/>
              <w:right w:w="67" w:type="dxa"/>
            </w:tcMar>
          </w:tcPr>
          <w:p w:rsidR="002A3070" w:rsidRDefault="002A3070" w:rsidP="00C2706F">
            <w:pPr>
              <w:adjustRightInd w:val="0"/>
              <w:spacing w:before="67" w:after="67" w:line="480" w:lineRule="auto"/>
              <w:jc w:val="center"/>
              <w:rPr>
                <w:rFonts w:ascii="Arial" w:eastAsia="Times New Roman" w:hAnsi="Arial" w:cs="Arial"/>
                <w:color w:val="000000"/>
                <w:sz w:val="19"/>
                <w:szCs w:val="19"/>
              </w:rPr>
            </w:pPr>
            <w:r w:rsidRPr="00F56A1D">
              <w:rPr>
                <w:rFonts w:ascii="Arial" w:eastAsia="Times New Roman" w:hAnsi="Arial" w:cs="Arial"/>
                <w:color w:val="000000"/>
                <w:sz w:val="19"/>
                <w:szCs w:val="19"/>
              </w:rPr>
              <w:t>0.8</w:t>
            </w:r>
            <w:r>
              <w:rPr>
                <w:rFonts w:ascii="Arial" w:eastAsia="Times New Roman" w:hAnsi="Arial" w:cs="Arial"/>
                <w:color w:val="000000"/>
                <w:sz w:val="19"/>
                <w:szCs w:val="19"/>
              </w:rPr>
              <w:t>8</w:t>
            </w:r>
            <w:r w:rsidRPr="00F56A1D">
              <w:rPr>
                <w:rFonts w:ascii="Arial" w:eastAsia="Times New Roman" w:hAnsi="Arial" w:cs="Arial"/>
                <w:color w:val="000000"/>
                <w:sz w:val="19"/>
                <w:szCs w:val="19"/>
              </w:rPr>
              <w:t xml:space="preserve"> (0.7</w:t>
            </w:r>
            <w:r>
              <w:rPr>
                <w:rFonts w:ascii="Arial" w:eastAsia="Times New Roman" w:hAnsi="Arial" w:cs="Arial"/>
                <w:color w:val="000000"/>
                <w:sz w:val="19"/>
                <w:szCs w:val="19"/>
              </w:rPr>
              <w:t>9</w:t>
            </w:r>
            <w:r w:rsidRPr="00F56A1D">
              <w:rPr>
                <w:rFonts w:ascii="Arial" w:eastAsia="Times New Roman" w:hAnsi="Arial" w:cs="Arial"/>
                <w:color w:val="000000"/>
                <w:sz w:val="19"/>
                <w:szCs w:val="19"/>
              </w:rPr>
              <w:t xml:space="preserve"> - 0.9</w:t>
            </w:r>
            <w:r>
              <w:rPr>
                <w:rFonts w:ascii="Arial" w:eastAsia="Times New Roman" w:hAnsi="Arial" w:cs="Arial"/>
                <w:color w:val="000000"/>
                <w:sz w:val="19"/>
                <w:szCs w:val="19"/>
              </w:rPr>
              <w:t>8</w:t>
            </w:r>
            <w:r w:rsidRPr="00F56A1D">
              <w:rPr>
                <w:rFonts w:ascii="Arial" w:eastAsia="Times New Roman" w:hAnsi="Arial" w:cs="Arial"/>
                <w:color w:val="000000"/>
                <w:sz w:val="19"/>
                <w:szCs w:val="19"/>
              </w:rPr>
              <w:t>)</w:t>
            </w:r>
          </w:p>
          <w:p w:rsidR="0045335C" w:rsidRPr="00F56A1D" w:rsidRDefault="0045335C" w:rsidP="00C2706F">
            <w:pPr>
              <w:adjustRightInd w:val="0"/>
              <w:spacing w:before="67" w:after="67" w:line="480" w:lineRule="auto"/>
              <w:jc w:val="center"/>
              <w:rPr>
                <w:rFonts w:ascii="Arial" w:eastAsia="Times New Roman" w:hAnsi="Arial" w:cs="Arial"/>
                <w:color w:val="000000"/>
                <w:sz w:val="19"/>
                <w:szCs w:val="19"/>
              </w:rPr>
            </w:pPr>
          </w:p>
        </w:tc>
        <w:tc>
          <w:tcPr>
            <w:tcW w:w="2845" w:type="dxa"/>
            <w:tcBorders>
              <w:top w:val="nil"/>
              <w:left w:val="nil"/>
              <w:bottom w:val="nil"/>
              <w:right w:val="nil"/>
            </w:tcBorders>
            <w:shd w:val="clear" w:color="auto" w:fill="FFFFFF"/>
            <w:tcMar>
              <w:left w:w="67" w:type="dxa"/>
              <w:right w:w="67" w:type="dxa"/>
            </w:tcMar>
          </w:tcPr>
          <w:p w:rsidR="0045335C"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93.8(79.2 – 99.2)</w:t>
            </w:r>
          </w:p>
          <w:p w:rsidR="002A3070" w:rsidRPr="00F56A1D"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93.5 (78.6-99.2)</w:t>
            </w:r>
          </w:p>
        </w:tc>
        <w:tc>
          <w:tcPr>
            <w:tcW w:w="2845" w:type="dxa"/>
            <w:tcBorders>
              <w:top w:val="nil"/>
              <w:left w:val="nil"/>
              <w:bottom w:val="nil"/>
              <w:right w:val="nil"/>
            </w:tcBorders>
            <w:shd w:val="clear" w:color="auto" w:fill="FFFFFF"/>
            <w:tcMar>
              <w:left w:w="67" w:type="dxa"/>
              <w:right w:w="67" w:type="dxa"/>
            </w:tcMar>
          </w:tcPr>
          <w:p w:rsidR="0045335C"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18.2</w:t>
            </w:r>
            <w:r w:rsidR="0045335C" w:rsidRPr="00F56A1D">
              <w:rPr>
                <w:rFonts w:ascii="Arial" w:eastAsia="Times New Roman" w:hAnsi="Arial" w:cs="Arial"/>
                <w:color w:val="000000"/>
                <w:sz w:val="19"/>
                <w:szCs w:val="19"/>
              </w:rPr>
              <w:t xml:space="preserve"> (</w:t>
            </w:r>
            <w:r>
              <w:rPr>
                <w:rFonts w:ascii="Arial" w:eastAsia="Times New Roman" w:hAnsi="Arial" w:cs="Arial"/>
                <w:color w:val="000000"/>
                <w:sz w:val="19"/>
                <w:szCs w:val="19"/>
              </w:rPr>
              <w:t>5.2</w:t>
            </w:r>
            <w:r w:rsidR="0045335C" w:rsidRPr="00F56A1D">
              <w:rPr>
                <w:rFonts w:ascii="Arial" w:eastAsia="Times New Roman" w:hAnsi="Arial" w:cs="Arial"/>
                <w:color w:val="000000"/>
                <w:sz w:val="19"/>
                <w:szCs w:val="19"/>
              </w:rPr>
              <w:t xml:space="preserve">. </w:t>
            </w:r>
            <w:r>
              <w:rPr>
                <w:rFonts w:ascii="Arial" w:eastAsia="Times New Roman" w:hAnsi="Arial" w:cs="Arial"/>
                <w:color w:val="000000"/>
                <w:sz w:val="19"/>
                <w:szCs w:val="19"/>
              </w:rPr>
              <w:t>40</w:t>
            </w:r>
            <w:r w:rsidR="0045335C" w:rsidRPr="00F56A1D">
              <w:rPr>
                <w:rFonts w:ascii="Arial" w:eastAsia="Times New Roman" w:hAnsi="Arial" w:cs="Arial"/>
                <w:color w:val="000000"/>
                <w:sz w:val="19"/>
                <w:szCs w:val="19"/>
              </w:rPr>
              <w:t>.</w:t>
            </w:r>
            <w:r w:rsidR="0045335C">
              <w:rPr>
                <w:rFonts w:ascii="Arial" w:eastAsia="Times New Roman" w:hAnsi="Arial" w:cs="Arial"/>
                <w:color w:val="000000"/>
                <w:sz w:val="19"/>
                <w:szCs w:val="19"/>
              </w:rPr>
              <w:t>3</w:t>
            </w:r>
            <w:r w:rsidR="0045335C" w:rsidRPr="00F56A1D">
              <w:rPr>
                <w:rFonts w:ascii="Arial" w:eastAsia="Times New Roman" w:hAnsi="Arial" w:cs="Arial"/>
                <w:color w:val="000000"/>
                <w:sz w:val="19"/>
                <w:szCs w:val="19"/>
              </w:rPr>
              <w:t>)</w:t>
            </w:r>
          </w:p>
          <w:p w:rsidR="002A3070" w:rsidRPr="00F56A1D" w:rsidRDefault="002A3070" w:rsidP="002A3070">
            <w:pPr>
              <w:adjustRightInd w:val="0"/>
              <w:spacing w:before="67" w:after="67" w:line="480" w:lineRule="auto"/>
              <w:jc w:val="center"/>
              <w:rPr>
                <w:rFonts w:ascii="Arial" w:eastAsia="Times New Roman" w:hAnsi="Arial" w:cs="Arial"/>
                <w:color w:val="000000"/>
                <w:sz w:val="19"/>
                <w:szCs w:val="19"/>
              </w:rPr>
            </w:pPr>
            <w:r>
              <w:rPr>
                <w:rFonts w:ascii="Arial" w:eastAsia="Times New Roman" w:hAnsi="Arial" w:cs="Arial"/>
                <w:color w:val="000000"/>
                <w:sz w:val="19"/>
                <w:szCs w:val="19"/>
              </w:rPr>
              <w:t>30.8 (9.1-61.4)</w:t>
            </w:r>
          </w:p>
        </w:tc>
      </w:tr>
      <w:tr w:rsidR="0045335C" w:rsidRPr="00127C7E" w:rsidTr="006007DE">
        <w:trPr>
          <w:cantSplit/>
          <w:jc w:val="center"/>
        </w:trPr>
        <w:tc>
          <w:tcPr>
            <w:tcW w:w="2835" w:type="dxa"/>
            <w:tcBorders>
              <w:top w:val="nil"/>
              <w:left w:val="nil"/>
              <w:bottom w:val="nil"/>
              <w:right w:val="nil"/>
            </w:tcBorders>
            <w:shd w:val="clear" w:color="auto" w:fill="FFFFFF"/>
            <w:tcMar>
              <w:left w:w="67" w:type="dxa"/>
              <w:right w:w="67" w:type="dxa"/>
            </w:tcMar>
          </w:tcPr>
          <w:p w:rsidR="0045335C" w:rsidRPr="00127C7E" w:rsidRDefault="0045335C" w:rsidP="0045335C">
            <w:pPr>
              <w:adjustRightInd w:val="0"/>
              <w:spacing w:before="67" w:after="67" w:line="480" w:lineRule="auto"/>
              <w:rPr>
                <w:rFonts w:ascii="Arial" w:eastAsia="Times New Roman" w:hAnsi="Arial" w:cs="Arial"/>
                <w:color w:val="000000"/>
                <w:sz w:val="19"/>
                <w:szCs w:val="19"/>
              </w:rPr>
            </w:pPr>
          </w:p>
        </w:tc>
        <w:tc>
          <w:tcPr>
            <w:tcW w:w="1994" w:type="dxa"/>
            <w:tcBorders>
              <w:top w:val="nil"/>
              <w:left w:val="nil"/>
              <w:bottom w:val="nil"/>
              <w:right w:val="nil"/>
            </w:tcBorders>
            <w:shd w:val="clear" w:color="auto" w:fill="FFFFFF"/>
            <w:tcMar>
              <w:left w:w="67" w:type="dxa"/>
              <w:right w:w="67" w:type="dxa"/>
            </w:tcMar>
          </w:tcPr>
          <w:p w:rsidR="0045335C" w:rsidRPr="00E5145B" w:rsidRDefault="0045335C" w:rsidP="0045335C">
            <w:pPr>
              <w:adjustRightInd w:val="0"/>
              <w:spacing w:before="67" w:after="67" w:line="480" w:lineRule="auto"/>
              <w:rPr>
                <w:rFonts w:ascii="Arial" w:eastAsia="Times New Roman" w:hAnsi="Arial" w:cs="Arial"/>
                <w:color w:val="000000"/>
              </w:rPr>
            </w:pPr>
            <w:r w:rsidRPr="00E5145B">
              <w:rPr>
                <w:rFonts w:ascii="Arial" w:eastAsia="Times New Roman" w:hAnsi="Arial" w:cs="Arial"/>
                <w:color w:val="000000"/>
              </w:rPr>
              <w:t>≥ 11.1mmol/l</w:t>
            </w:r>
          </w:p>
        </w:tc>
        <w:tc>
          <w:tcPr>
            <w:tcW w:w="2845" w:type="dxa"/>
            <w:tcBorders>
              <w:top w:val="nil"/>
              <w:left w:val="nil"/>
              <w:bottom w:val="nil"/>
              <w:right w:val="nil"/>
            </w:tcBorders>
            <w:shd w:val="clear" w:color="auto" w:fill="FFFFFF"/>
            <w:tcMar>
              <w:left w:w="67" w:type="dxa"/>
              <w:right w:w="67" w:type="dxa"/>
            </w:tcMar>
          </w:tcPr>
          <w:p w:rsidR="0045335C" w:rsidRPr="00E5145B" w:rsidRDefault="0045335C" w:rsidP="0045335C">
            <w:pPr>
              <w:adjustRightInd w:val="0"/>
              <w:spacing w:before="67" w:after="67" w:line="480" w:lineRule="auto"/>
              <w:jc w:val="center"/>
              <w:rPr>
                <w:rFonts w:ascii="Arial" w:eastAsia="Times New Roman" w:hAnsi="Arial" w:cs="Arial"/>
                <w:color w:val="000000"/>
              </w:rPr>
            </w:pPr>
          </w:p>
        </w:tc>
        <w:tc>
          <w:tcPr>
            <w:tcW w:w="2845" w:type="dxa"/>
            <w:tcBorders>
              <w:top w:val="nil"/>
              <w:left w:val="nil"/>
              <w:bottom w:val="nil"/>
              <w:right w:val="nil"/>
            </w:tcBorders>
            <w:shd w:val="clear" w:color="auto" w:fill="FFFFFF"/>
            <w:tcMar>
              <w:left w:w="67" w:type="dxa"/>
              <w:right w:w="67" w:type="dxa"/>
            </w:tcMar>
          </w:tcPr>
          <w:p w:rsidR="0045335C" w:rsidRPr="00E5145B" w:rsidRDefault="0045335C" w:rsidP="0045335C">
            <w:pPr>
              <w:adjustRightInd w:val="0"/>
              <w:spacing w:before="67" w:after="67" w:line="480" w:lineRule="auto"/>
              <w:jc w:val="center"/>
              <w:rPr>
                <w:rFonts w:ascii="Arial" w:eastAsia="Times New Roman" w:hAnsi="Arial" w:cs="Arial"/>
                <w:color w:val="000000"/>
              </w:rPr>
            </w:pPr>
            <w:r w:rsidRPr="00E5145B">
              <w:rPr>
                <w:rFonts w:ascii="Arial" w:eastAsia="Times New Roman" w:hAnsi="Arial" w:cs="Arial"/>
                <w:color w:val="000000"/>
              </w:rPr>
              <w:t>6</w:t>
            </w:r>
            <w:r>
              <w:rPr>
                <w:rFonts w:ascii="Arial" w:eastAsia="Times New Roman" w:hAnsi="Arial" w:cs="Arial"/>
                <w:color w:val="000000"/>
              </w:rPr>
              <w:t>8</w:t>
            </w:r>
            <w:r w:rsidRPr="00E5145B">
              <w:rPr>
                <w:rFonts w:ascii="Arial" w:eastAsia="Times New Roman" w:hAnsi="Arial" w:cs="Arial"/>
                <w:color w:val="000000"/>
              </w:rPr>
              <w:t>.</w:t>
            </w:r>
            <w:r>
              <w:rPr>
                <w:rFonts w:ascii="Arial" w:eastAsia="Times New Roman" w:hAnsi="Arial" w:cs="Arial"/>
                <w:color w:val="000000"/>
              </w:rPr>
              <w:t>8</w:t>
            </w:r>
            <w:r w:rsidRPr="00E5145B">
              <w:rPr>
                <w:rFonts w:ascii="Arial" w:eastAsia="Times New Roman" w:hAnsi="Arial" w:cs="Arial"/>
                <w:color w:val="000000"/>
              </w:rPr>
              <w:t xml:space="preserve"> (</w:t>
            </w:r>
            <w:r>
              <w:rPr>
                <w:rFonts w:ascii="Arial" w:eastAsia="Times New Roman" w:hAnsi="Arial" w:cs="Arial"/>
                <w:color w:val="000000"/>
              </w:rPr>
              <w:t>50</w:t>
            </w:r>
            <w:r w:rsidRPr="00E5145B">
              <w:rPr>
                <w:rFonts w:ascii="Arial" w:eastAsia="Times New Roman" w:hAnsi="Arial" w:cs="Arial"/>
                <w:color w:val="000000"/>
              </w:rPr>
              <w:t>.</w:t>
            </w:r>
            <w:r>
              <w:rPr>
                <w:rFonts w:ascii="Arial" w:eastAsia="Times New Roman" w:hAnsi="Arial" w:cs="Arial"/>
                <w:color w:val="000000"/>
              </w:rPr>
              <w:t>0</w:t>
            </w:r>
            <w:r w:rsidRPr="00E5145B">
              <w:rPr>
                <w:rFonts w:ascii="Arial" w:eastAsia="Times New Roman" w:hAnsi="Arial" w:cs="Arial"/>
                <w:color w:val="000000"/>
              </w:rPr>
              <w:t xml:space="preserve"> – 8</w:t>
            </w:r>
            <w:r>
              <w:rPr>
                <w:rFonts w:ascii="Arial" w:eastAsia="Times New Roman" w:hAnsi="Arial" w:cs="Arial"/>
                <w:color w:val="000000"/>
              </w:rPr>
              <w:t>3</w:t>
            </w:r>
            <w:r w:rsidRPr="00E5145B">
              <w:rPr>
                <w:rFonts w:ascii="Arial" w:eastAsia="Times New Roman" w:hAnsi="Arial" w:cs="Arial"/>
                <w:color w:val="000000"/>
              </w:rPr>
              <w:t>.</w:t>
            </w:r>
            <w:r>
              <w:rPr>
                <w:rFonts w:ascii="Arial" w:eastAsia="Times New Roman" w:hAnsi="Arial" w:cs="Arial"/>
                <w:color w:val="000000"/>
              </w:rPr>
              <w:t>9</w:t>
            </w:r>
            <w:r w:rsidRPr="00E5145B">
              <w:rPr>
                <w:rFonts w:ascii="Arial" w:eastAsia="Times New Roman" w:hAnsi="Arial" w:cs="Arial"/>
                <w:color w:val="000000"/>
              </w:rPr>
              <w:t>)</w:t>
            </w:r>
          </w:p>
        </w:tc>
        <w:tc>
          <w:tcPr>
            <w:tcW w:w="2845" w:type="dxa"/>
            <w:tcBorders>
              <w:top w:val="nil"/>
              <w:left w:val="nil"/>
              <w:bottom w:val="nil"/>
              <w:right w:val="nil"/>
            </w:tcBorders>
            <w:shd w:val="clear" w:color="auto" w:fill="FFFFFF"/>
            <w:tcMar>
              <w:left w:w="67" w:type="dxa"/>
              <w:right w:w="67" w:type="dxa"/>
            </w:tcMar>
          </w:tcPr>
          <w:p w:rsidR="0045335C" w:rsidRPr="00E5145B" w:rsidRDefault="0045335C" w:rsidP="0045335C">
            <w:pPr>
              <w:adjustRightInd w:val="0"/>
              <w:spacing w:before="67" w:after="67" w:line="480" w:lineRule="auto"/>
              <w:jc w:val="center"/>
              <w:rPr>
                <w:rFonts w:ascii="Arial" w:eastAsia="Times New Roman" w:hAnsi="Arial" w:cs="Arial"/>
                <w:color w:val="000000"/>
              </w:rPr>
            </w:pPr>
            <w:r w:rsidRPr="00E5145B">
              <w:rPr>
                <w:rFonts w:ascii="Arial" w:eastAsia="Times New Roman" w:hAnsi="Arial" w:cs="Arial"/>
                <w:color w:val="000000"/>
              </w:rPr>
              <w:t>100.0 (8</w:t>
            </w:r>
            <w:r>
              <w:rPr>
                <w:rFonts w:ascii="Arial" w:eastAsia="Times New Roman" w:hAnsi="Arial" w:cs="Arial"/>
                <w:color w:val="000000"/>
              </w:rPr>
              <w:t>4</w:t>
            </w:r>
            <w:r w:rsidRPr="00E5145B">
              <w:rPr>
                <w:rFonts w:ascii="Arial" w:eastAsia="Times New Roman" w:hAnsi="Arial" w:cs="Arial"/>
                <w:color w:val="000000"/>
              </w:rPr>
              <w:t>.</w:t>
            </w:r>
            <w:r>
              <w:rPr>
                <w:rFonts w:ascii="Arial" w:eastAsia="Times New Roman" w:hAnsi="Arial" w:cs="Arial"/>
                <w:color w:val="000000"/>
              </w:rPr>
              <w:t>6</w:t>
            </w:r>
            <w:r w:rsidRPr="00E5145B">
              <w:rPr>
                <w:rFonts w:ascii="Arial" w:eastAsia="Times New Roman" w:hAnsi="Arial" w:cs="Arial"/>
                <w:color w:val="000000"/>
              </w:rPr>
              <w:t xml:space="preserve"> – 100.0)</w:t>
            </w:r>
          </w:p>
        </w:tc>
      </w:tr>
    </w:tbl>
    <w:p w:rsidR="000B5467" w:rsidRPr="00E5145B" w:rsidRDefault="000B5467" w:rsidP="000B5467">
      <w:pPr>
        <w:rPr>
          <w:rFonts w:ascii="Arial" w:hAnsi="Arial" w:cs="Arial"/>
        </w:rPr>
      </w:pPr>
      <w:r w:rsidRPr="00E5145B">
        <w:rPr>
          <w:rFonts w:ascii="Arial" w:hAnsi="Arial" w:cs="Arial"/>
        </w:rPr>
        <w:t>Of the initial 1</w:t>
      </w:r>
      <w:r w:rsidR="0045335C">
        <w:rPr>
          <w:rFonts w:ascii="Arial" w:hAnsi="Arial" w:cs="Arial"/>
        </w:rPr>
        <w:t>00</w:t>
      </w:r>
      <w:r w:rsidRPr="00E5145B">
        <w:rPr>
          <w:rFonts w:ascii="Arial" w:hAnsi="Arial" w:cs="Arial"/>
        </w:rPr>
        <w:t xml:space="preserve"> newly diagnosed DM patients, 5</w:t>
      </w:r>
      <w:r w:rsidR="0045335C">
        <w:rPr>
          <w:rFonts w:ascii="Arial" w:hAnsi="Arial" w:cs="Arial"/>
        </w:rPr>
        <w:t>4</w:t>
      </w:r>
      <w:r w:rsidRPr="00E5145B">
        <w:rPr>
          <w:rFonts w:ascii="Arial" w:hAnsi="Arial" w:cs="Arial"/>
        </w:rPr>
        <w:t xml:space="preserve"> (</w:t>
      </w:r>
      <w:r w:rsidR="0045335C">
        <w:rPr>
          <w:rFonts w:ascii="Arial" w:hAnsi="Arial" w:cs="Arial"/>
        </w:rPr>
        <w:t>54</w:t>
      </w:r>
      <w:r w:rsidRPr="00E5145B">
        <w:rPr>
          <w:rFonts w:ascii="Arial" w:hAnsi="Arial" w:cs="Arial"/>
        </w:rPr>
        <w:t xml:space="preserve">%) had a confirmatory test for DM following TB treatment. </w:t>
      </w:r>
      <w:r w:rsidR="002A3070" w:rsidRPr="00E5145B">
        <w:rPr>
          <w:rFonts w:ascii="Arial" w:hAnsi="Arial" w:cs="Arial"/>
        </w:rPr>
        <w:t>These 5</w:t>
      </w:r>
      <w:r w:rsidR="002A3070">
        <w:rPr>
          <w:rFonts w:ascii="Arial" w:hAnsi="Arial" w:cs="Arial"/>
        </w:rPr>
        <w:t>4</w:t>
      </w:r>
      <w:r w:rsidR="002A3070" w:rsidRPr="00E5145B">
        <w:rPr>
          <w:rFonts w:ascii="Arial" w:hAnsi="Arial" w:cs="Arial"/>
        </w:rPr>
        <w:t xml:space="preserve"> patients were from Indonesia (2</w:t>
      </w:r>
      <w:r w:rsidR="002A3070">
        <w:rPr>
          <w:rFonts w:ascii="Arial" w:hAnsi="Arial" w:cs="Arial"/>
        </w:rPr>
        <w:t>4</w:t>
      </w:r>
      <w:r w:rsidR="002A3070" w:rsidRPr="00E5145B">
        <w:rPr>
          <w:rFonts w:ascii="Arial" w:hAnsi="Arial" w:cs="Arial"/>
        </w:rPr>
        <w:t>), Peru (</w:t>
      </w:r>
      <w:r w:rsidR="002A3070">
        <w:rPr>
          <w:rFonts w:ascii="Arial" w:hAnsi="Arial" w:cs="Arial"/>
        </w:rPr>
        <w:t>2</w:t>
      </w:r>
      <w:r w:rsidR="002A3070" w:rsidRPr="00E5145B">
        <w:rPr>
          <w:rFonts w:ascii="Arial" w:hAnsi="Arial" w:cs="Arial"/>
        </w:rPr>
        <w:t>), Romania (</w:t>
      </w:r>
      <w:r w:rsidR="002A3070">
        <w:rPr>
          <w:rFonts w:ascii="Arial" w:hAnsi="Arial" w:cs="Arial"/>
        </w:rPr>
        <w:t>16</w:t>
      </w:r>
      <w:r w:rsidR="002A3070" w:rsidRPr="00E5145B">
        <w:rPr>
          <w:rFonts w:ascii="Arial" w:hAnsi="Arial" w:cs="Arial"/>
        </w:rPr>
        <w:t>) and South Africa (</w:t>
      </w:r>
      <w:r w:rsidR="002A3070">
        <w:rPr>
          <w:rFonts w:ascii="Arial" w:hAnsi="Arial" w:cs="Arial"/>
        </w:rPr>
        <w:t>12</w:t>
      </w:r>
      <w:r w:rsidR="002A3070" w:rsidRPr="00E5145B">
        <w:rPr>
          <w:rFonts w:ascii="Arial" w:hAnsi="Arial" w:cs="Arial"/>
        </w:rPr>
        <w:t xml:space="preserve">). </w:t>
      </w:r>
      <w:r w:rsidRPr="00E5145B">
        <w:rPr>
          <w:rFonts w:ascii="Arial" w:hAnsi="Arial" w:cs="Arial"/>
        </w:rPr>
        <w:t xml:space="preserve">Of this </w:t>
      </w:r>
      <w:r w:rsidR="0045335C">
        <w:rPr>
          <w:rFonts w:ascii="Arial" w:hAnsi="Arial" w:cs="Arial"/>
        </w:rPr>
        <w:t>54</w:t>
      </w:r>
      <w:r w:rsidRPr="00E5145B">
        <w:rPr>
          <w:rFonts w:ascii="Arial" w:hAnsi="Arial" w:cs="Arial"/>
        </w:rPr>
        <w:t xml:space="preserve">, </w:t>
      </w:r>
      <w:r w:rsidR="0045335C">
        <w:rPr>
          <w:rFonts w:ascii="Arial" w:hAnsi="Arial" w:cs="Arial"/>
        </w:rPr>
        <w:t>32</w:t>
      </w:r>
      <w:r w:rsidRPr="00E5145B">
        <w:rPr>
          <w:rFonts w:ascii="Arial" w:hAnsi="Arial" w:cs="Arial"/>
        </w:rPr>
        <w:t xml:space="preserve"> had DM status confirmed by this test (5</w:t>
      </w:r>
      <w:r w:rsidR="004E34A7">
        <w:rPr>
          <w:rFonts w:ascii="Arial" w:hAnsi="Arial" w:cs="Arial"/>
        </w:rPr>
        <w:t>9</w:t>
      </w:r>
      <w:r w:rsidRPr="00E5145B">
        <w:rPr>
          <w:rFonts w:ascii="Arial" w:hAnsi="Arial" w:cs="Arial"/>
        </w:rPr>
        <w:t xml:space="preserve">%). TANDEM scores were not repeated due to the small sample size and other tests were not repeated due to the modest AUC at baseline. </w:t>
      </w:r>
    </w:p>
    <w:p w:rsidR="00AA6C49" w:rsidRPr="00CA2988" w:rsidRDefault="00F87567" w:rsidP="00AA6C49">
      <w:pPr>
        <w:pStyle w:val="Heading1"/>
        <w:rPr>
          <w:sz w:val="32"/>
          <w:szCs w:val="32"/>
        </w:rPr>
      </w:pPr>
      <w:r>
        <w:rPr>
          <w:sz w:val="32"/>
          <w:szCs w:val="32"/>
        </w:rPr>
        <w:lastRenderedPageBreak/>
        <w:t xml:space="preserve">APPENDIX </w:t>
      </w:r>
      <w:r w:rsidR="000B5467">
        <w:rPr>
          <w:sz w:val="32"/>
          <w:szCs w:val="32"/>
        </w:rPr>
        <w:t>8</w:t>
      </w:r>
      <w:r w:rsidR="00AA6C49" w:rsidRPr="00CA2988">
        <w:rPr>
          <w:sz w:val="32"/>
          <w:szCs w:val="32"/>
        </w:rPr>
        <w:t xml:space="preserve"> DM diagnostics - Area under the ROC curve and sensitivity and specificity estimates</w:t>
      </w:r>
      <w:r w:rsidR="00E75C35" w:rsidRPr="00CA2988">
        <w:rPr>
          <w:sz w:val="32"/>
          <w:szCs w:val="32"/>
        </w:rPr>
        <w:t>,</w:t>
      </w:r>
      <w:r w:rsidR="00AA6C49" w:rsidRPr="00CA2988">
        <w:rPr>
          <w:sz w:val="32"/>
          <w:szCs w:val="32"/>
        </w:rPr>
        <w:t xml:space="preserve"> FBG</w:t>
      </w:r>
      <w:r w:rsidR="00E75C35" w:rsidRPr="00CA2988">
        <w:rPr>
          <w:sz w:val="32"/>
          <w:szCs w:val="32"/>
        </w:rPr>
        <w:t xml:space="preserve"> as gold standard</w:t>
      </w:r>
      <w:bookmarkEnd w:id="7"/>
    </w:p>
    <w:p w:rsidR="00AA6C49" w:rsidRDefault="00AA6C49" w:rsidP="00AA6C49">
      <w:pPr>
        <w:adjustRightInd w:val="0"/>
        <w:spacing w:before="10" w:after="10"/>
        <w:rPr>
          <w:rFonts w:ascii="Arial" w:hAnsi="Arial" w:cs="Arial"/>
          <w:b/>
          <w:bCs/>
          <w:color w:val="000000"/>
        </w:rPr>
      </w:pPr>
    </w:p>
    <w:p w:rsidR="00AA6C49" w:rsidRDefault="00AA6C49" w:rsidP="00AA6C49">
      <w:pPr>
        <w:adjustRightInd w:val="0"/>
        <w:spacing w:before="10" w:after="10"/>
        <w:rPr>
          <w:rFonts w:ascii="Arial" w:hAnsi="Arial" w:cs="Arial"/>
          <w:b/>
          <w:bCs/>
          <w:color w:val="000000"/>
        </w:rPr>
      </w:pPr>
      <w:r>
        <w:rPr>
          <w:rFonts w:ascii="Arial" w:hAnsi="Arial" w:cs="Arial"/>
          <w:b/>
          <w:bCs/>
          <w:color w:val="000000"/>
        </w:rPr>
        <w:t>New DM cases defined using FBG ≥7.0mmol/l</w:t>
      </w:r>
    </w:p>
    <w:p w:rsidR="00AA6C49" w:rsidRDefault="00AA6C49" w:rsidP="00AA6C49">
      <w:pPr>
        <w:adjustRightInd w:val="0"/>
        <w:rPr>
          <w:rFonts w:ascii="Arial" w:hAnsi="Arial" w:cs="Arial"/>
          <w:b/>
          <w:bCs/>
          <w:color w:val="000000"/>
        </w:rPr>
      </w:pPr>
    </w:p>
    <w:tbl>
      <w:tblPr>
        <w:tblW w:w="0" w:type="auto"/>
        <w:jc w:val="center"/>
        <w:tblLayout w:type="fixed"/>
        <w:tblCellMar>
          <w:left w:w="0" w:type="dxa"/>
          <w:right w:w="0" w:type="dxa"/>
        </w:tblCellMar>
        <w:tblLook w:val="0000" w:firstRow="0" w:lastRow="0" w:firstColumn="0" w:lastColumn="0" w:noHBand="0" w:noVBand="0"/>
      </w:tblPr>
      <w:tblGrid>
        <w:gridCol w:w="2835"/>
        <w:gridCol w:w="1994"/>
        <w:gridCol w:w="2845"/>
        <w:gridCol w:w="2845"/>
        <w:gridCol w:w="2845"/>
      </w:tblGrid>
      <w:tr w:rsidR="009A6C6D" w:rsidRPr="009A6C6D" w:rsidTr="006007DE">
        <w:trPr>
          <w:cantSplit/>
          <w:tblHeader/>
          <w:jc w:val="center"/>
        </w:trPr>
        <w:tc>
          <w:tcPr>
            <w:tcW w:w="2835" w:type="dxa"/>
            <w:tcBorders>
              <w:top w:val="single" w:sz="4" w:space="0" w:color="000000"/>
              <w:left w:val="nil"/>
              <w:bottom w:val="single" w:sz="4" w:space="0" w:color="000000"/>
              <w:right w:val="nil"/>
            </w:tcBorders>
            <w:shd w:val="clear" w:color="auto" w:fill="FFFFFF"/>
            <w:tcMar>
              <w:left w:w="67" w:type="dxa"/>
              <w:right w:w="67" w:type="dxa"/>
            </w:tcMar>
            <w:vAlign w:val="bottom"/>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DM Marker</w:t>
            </w:r>
          </w:p>
        </w:tc>
        <w:tc>
          <w:tcPr>
            <w:tcW w:w="1994" w:type="dxa"/>
            <w:tcBorders>
              <w:top w:val="single" w:sz="4" w:space="0" w:color="000000"/>
              <w:left w:val="nil"/>
              <w:bottom w:val="single" w:sz="4" w:space="0" w:color="000000"/>
              <w:right w:val="nil"/>
            </w:tcBorders>
            <w:shd w:val="clear" w:color="auto" w:fill="FFFFFF"/>
            <w:tcMar>
              <w:left w:w="67" w:type="dxa"/>
              <w:right w:w="67" w:type="dxa"/>
            </w:tcMar>
            <w:vAlign w:val="bottom"/>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Cut-point</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AUROC</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Sensitivity (%)</w:t>
            </w:r>
          </w:p>
        </w:tc>
        <w:tc>
          <w:tcPr>
            <w:tcW w:w="2845" w:type="dxa"/>
            <w:tcBorders>
              <w:top w:val="single" w:sz="4" w:space="0" w:color="000000"/>
              <w:left w:val="nil"/>
              <w:bottom w:val="single" w:sz="4" w:space="0" w:color="000000"/>
              <w:right w:val="nil"/>
            </w:tcBorders>
            <w:shd w:val="clear" w:color="auto" w:fill="FFFFFF"/>
            <w:tcMar>
              <w:left w:w="67" w:type="dxa"/>
              <w:right w:w="67" w:type="dxa"/>
            </w:tcMar>
            <w:vAlign w:val="bottom"/>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Specificity (%)</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RPG/POC HbA1c Combination</w:t>
            </w:r>
            <w:r w:rsidRPr="009A6C6D">
              <w:rPr>
                <w:rFonts w:ascii="Calibri" w:hAnsi="Calibri" w:cs="Calibri"/>
                <w:color w:val="000000"/>
                <w:sz w:val="22"/>
                <w:szCs w:val="22"/>
                <w:vertAlign w:val="superscript"/>
              </w:rPr>
              <w:t>1</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POC HbA1c ≥ 6.0%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 </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45.0 (32.1 - 58.4)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84.1 (81.5 - 86.4)</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POC HbA1c ≥ 6.5%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28.3 (17.5 - 41.4)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92.0 (90.1 - 93.7)</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Restricted TANDEM Score</w:t>
            </w:r>
            <w:r w:rsidRPr="009A6C6D">
              <w:rPr>
                <w:rFonts w:ascii="Calibri" w:hAnsi="Calibri" w:cs="Calibri"/>
                <w:color w:val="000000"/>
                <w:sz w:val="22"/>
                <w:szCs w:val="22"/>
                <w:vertAlign w:val="superscript"/>
              </w:rPr>
              <w:t>3</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3.1</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0.67 (0.59 - 0.75)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68.8 (55.9 - 79.8)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53.5 (50.2 - 56.7)</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3.5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50.0 (37.2 - 62.8)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71.3 (68.3 - 74.2)</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Full TANDEM Score</w:t>
            </w:r>
            <w:r w:rsidRPr="009A6C6D">
              <w:rPr>
                <w:rFonts w:ascii="Calibri" w:hAnsi="Calibri" w:cs="Calibri"/>
                <w:color w:val="000000"/>
                <w:sz w:val="22"/>
                <w:szCs w:val="22"/>
                <w:vertAlign w:val="superscript"/>
              </w:rPr>
              <w:t>2</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11.6</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0.65 (0.57 - 0.74)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61.0 (47.4 - 73.5)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58.1 (54.8 - 61.4)</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12.4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37.3 (25.0 - 50.9)</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83.8 (81.3 - 86.2)</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Oman Score</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10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0.65 (0.58 - 0.72)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41.2 (29.4 - 53.8)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82.2 (79.7 - 84.6)</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72.1 (59.9 - 82.3)</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54.1 (50.9 - 57.3)</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Age</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38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0.65 (0.57 - 0.72)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66.2 (53.7 - 77.2)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54.6 (51.4 - 57.8)</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45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58.8 (46.2 - 70.6)</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69.6 (66.6 - 72.5)</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RPG</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5.3 mmol/l</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0.64 (0.55 - 0.72)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78.1 (66.0 - 87.5)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34.6 (31.5 - 37.7)</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6.9 mmol/l</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46.9 (34.3 - 59.8)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76.5 (73.6 - 79.2)</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11.1 mmol/l</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15.6 (7.8 - 26.9)</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98.9 (98.0 - 99.5)</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POC HbA1c</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5.7%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0.63 (0.55 - 0.72)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62.7 (49.1 - 75.0)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57.2 (53.9 - 60.5)</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6.0%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52.5 (39.1 - 65.7)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72.1 (69.0 - 75.0)</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6.5%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28.8 (17.8 - 42.1)</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87.8 (85.5 - 89.9)</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Findrisc Score</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2</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0.63 (0.55 - 0.71)</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68.2 (55.6 - 79.1)</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54.3 (51.1 - 57.5)</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9</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9.1 (3.4 - 18.7)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94.6 (93.0 - 96.0)</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Indian Risk Score</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10.6</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0.63 (0.55 - 0.70)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75.0 (63.0 - 84.7)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41.4 (38.3 - 44.6)</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21</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60.3 (47.7 - 72.0)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62.5 (59.4 - 65.6)</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Urine Dipstick</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trace</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0.61 (0.54 - 0.68)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24.4 (12.4 - 40.3)</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97.4 (96.0 - 98.4)</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WHR</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0.77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0.56 (0.48 - 0.65)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85.3 (74.6 - 92.7)</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10.0 (8.2 - 12.1)</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Male ≥ 0.89</w:t>
            </w:r>
            <w:r w:rsidRPr="009A6C6D">
              <w:rPr>
                <w:rFonts w:ascii="Calibri" w:hAnsi="Calibri" w:cs="Calibri"/>
                <w:color w:val="000000"/>
                <w:sz w:val="22"/>
                <w:szCs w:val="22"/>
              </w:rPr>
              <w:br/>
              <w:t>Female ≥ 0.85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44.8 (32.6 - 57.4)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60.1 (57.0 - 63.3)</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Male ≥ 0.9</w:t>
            </w:r>
            <w:r w:rsidRPr="009A6C6D">
              <w:rPr>
                <w:rFonts w:ascii="Calibri" w:hAnsi="Calibri" w:cs="Calibri"/>
                <w:color w:val="000000"/>
                <w:sz w:val="22"/>
                <w:szCs w:val="22"/>
              </w:rPr>
              <w:br/>
              <w:t>Female ≥ 0.8</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40.3 (28.5 - 53.0)</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55.0 (51.8 - 58.2)</w:t>
            </w:r>
          </w:p>
        </w:tc>
      </w:tr>
      <w:tr w:rsidR="009A6C6D" w:rsidRPr="009A6C6D" w:rsidTr="006007DE">
        <w:trPr>
          <w:cantSplit/>
          <w:jc w:val="center"/>
        </w:trPr>
        <w:tc>
          <w:tcPr>
            <w:tcW w:w="283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BMI</w:t>
            </w:r>
          </w:p>
        </w:tc>
        <w:tc>
          <w:tcPr>
            <w:tcW w:w="1994"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25</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0.46 (0.38 - 0.54)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14.7 (7.3 - 25.4)</w:t>
            </w:r>
          </w:p>
        </w:tc>
        <w:tc>
          <w:tcPr>
            <w:tcW w:w="2845" w:type="dxa"/>
            <w:tcBorders>
              <w:top w:val="nil"/>
              <w:left w:val="nil"/>
              <w:bottom w:val="nil"/>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89.0 (86.8 - 90.9)</w:t>
            </w:r>
          </w:p>
        </w:tc>
      </w:tr>
      <w:tr w:rsidR="009A6C6D" w:rsidRPr="009A6C6D" w:rsidTr="006007DE">
        <w:trPr>
          <w:cantSplit/>
          <w:jc w:val="center"/>
        </w:trPr>
        <w:tc>
          <w:tcPr>
            <w:tcW w:w="2835" w:type="dxa"/>
            <w:tcBorders>
              <w:top w:val="nil"/>
              <w:left w:val="nil"/>
              <w:bottom w:val="single" w:sz="4" w:space="0" w:color="000000"/>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p>
        </w:tc>
        <w:tc>
          <w:tcPr>
            <w:tcW w:w="1994" w:type="dxa"/>
            <w:tcBorders>
              <w:top w:val="nil"/>
              <w:left w:val="nil"/>
              <w:bottom w:val="single" w:sz="4" w:space="0" w:color="000000"/>
              <w:right w:val="nil"/>
            </w:tcBorders>
            <w:shd w:val="clear" w:color="auto" w:fill="FFFFFF"/>
            <w:tcMar>
              <w:left w:w="67" w:type="dxa"/>
              <w:right w:w="67" w:type="dxa"/>
            </w:tcMar>
          </w:tcPr>
          <w:p w:rsidR="009A6C6D" w:rsidRPr="009A6C6D" w:rsidRDefault="009A6C6D" w:rsidP="009A6C6D">
            <w:pPr>
              <w:adjustRightInd w:val="0"/>
              <w:spacing w:before="67" w:after="67"/>
              <w:rPr>
                <w:rFonts w:ascii="Calibri" w:hAnsi="Calibri" w:cs="Calibri"/>
                <w:color w:val="000000"/>
                <w:sz w:val="22"/>
                <w:szCs w:val="22"/>
              </w:rPr>
            </w:pPr>
            <w:r w:rsidRPr="009A6C6D">
              <w:rPr>
                <w:rFonts w:ascii="Calibri" w:hAnsi="Calibri" w:cs="Calibri"/>
                <w:color w:val="000000"/>
                <w:sz w:val="22"/>
                <w:szCs w:val="22"/>
              </w:rPr>
              <w:t>≥ 30</w:t>
            </w:r>
          </w:p>
        </w:tc>
        <w:tc>
          <w:tcPr>
            <w:tcW w:w="2845" w:type="dxa"/>
            <w:tcBorders>
              <w:top w:val="nil"/>
              <w:left w:val="nil"/>
              <w:bottom w:val="single" w:sz="4" w:space="0" w:color="000000"/>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p>
        </w:tc>
        <w:tc>
          <w:tcPr>
            <w:tcW w:w="2845" w:type="dxa"/>
            <w:tcBorders>
              <w:top w:val="nil"/>
              <w:left w:val="nil"/>
              <w:bottom w:val="single" w:sz="4" w:space="0" w:color="000000"/>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5.9 (1.6 - 14.4)</w:t>
            </w:r>
          </w:p>
        </w:tc>
        <w:tc>
          <w:tcPr>
            <w:tcW w:w="2845" w:type="dxa"/>
            <w:tcBorders>
              <w:top w:val="nil"/>
              <w:left w:val="nil"/>
              <w:bottom w:val="single" w:sz="4" w:space="0" w:color="000000"/>
              <w:right w:val="nil"/>
            </w:tcBorders>
            <w:shd w:val="clear" w:color="auto" w:fill="FFFFFF"/>
            <w:tcMar>
              <w:left w:w="67" w:type="dxa"/>
              <w:right w:w="67" w:type="dxa"/>
            </w:tcMar>
          </w:tcPr>
          <w:p w:rsidR="009A6C6D" w:rsidRPr="009A6C6D" w:rsidRDefault="009A6C6D" w:rsidP="009A6C6D">
            <w:pPr>
              <w:adjustRightInd w:val="0"/>
              <w:spacing w:before="67" w:after="67"/>
              <w:jc w:val="center"/>
              <w:rPr>
                <w:rFonts w:ascii="Calibri" w:hAnsi="Calibri" w:cs="Calibri"/>
                <w:color w:val="000000"/>
                <w:sz w:val="22"/>
                <w:szCs w:val="22"/>
              </w:rPr>
            </w:pPr>
            <w:r w:rsidRPr="009A6C6D">
              <w:rPr>
                <w:rFonts w:ascii="Calibri" w:hAnsi="Calibri" w:cs="Calibri"/>
                <w:color w:val="000000"/>
                <w:sz w:val="22"/>
                <w:szCs w:val="22"/>
              </w:rPr>
              <w:t>98.8 (97.8 - 99.4)</w:t>
            </w:r>
          </w:p>
        </w:tc>
      </w:tr>
    </w:tbl>
    <w:p w:rsidR="00AA6C49" w:rsidRDefault="00AA6C49" w:rsidP="00AA6C49">
      <w:pPr>
        <w:adjustRightInd w:val="0"/>
        <w:rPr>
          <w:rFonts w:ascii="Arial" w:hAnsi="Arial" w:cs="Arial"/>
          <w:color w:val="000000"/>
          <w:sz w:val="19"/>
          <w:szCs w:val="19"/>
        </w:rPr>
      </w:pPr>
    </w:p>
    <w:p w:rsidR="00AA6C49" w:rsidRDefault="00AA6C49" w:rsidP="00AA6C49">
      <w:pPr>
        <w:adjustRightInd w:val="0"/>
        <w:jc w:val="center"/>
        <w:rPr>
          <w:sz w:val="24"/>
          <w:szCs w:val="24"/>
        </w:rPr>
      </w:pPr>
    </w:p>
    <w:p w:rsidR="00AA6C49" w:rsidRDefault="00AA6C49" w:rsidP="00AA6C49">
      <w:pPr>
        <w:adjustRightInd w:val="0"/>
        <w:spacing w:before="10" w:after="10"/>
        <w:rPr>
          <w:rFonts w:ascii="Arial" w:hAnsi="Arial" w:cs="Arial"/>
          <w:color w:val="000000"/>
          <w:sz w:val="18"/>
          <w:szCs w:val="18"/>
        </w:rPr>
      </w:pPr>
      <w:r>
        <w:rPr>
          <w:rFonts w:ascii="Arial" w:hAnsi="Arial" w:cs="Arial"/>
          <w:color w:val="000000"/>
          <w:sz w:val="18"/>
          <w:szCs w:val="18"/>
          <w:vertAlign w:val="superscript"/>
        </w:rPr>
        <w:t>1</w:t>
      </w:r>
      <w:r>
        <w:rPr>
          <w:rFonts w:ascii="Arial" w:hAnsi="Arial" w:cs="Arial"/>
          <w:color w:val="000000"/>
          <w:sz w:val="18"/>
          <w:szCs w:val="18"/>
        </w:rPr>
        <w:t>RPG ≥ 11.1 is deemed to be DM. If RPG ≥ 6.1 then a POC HbA1c test is performed.</w:t>
      </w:r>
    </w:p>
    <w:p w:rsidR="00AA6C49" w:rsidRDefault="00AA6C49" w:rsidP="00AA6C49">
      <w:pPr>
        <w:adjustRightInd w:val="0"/>
        <w:spacing w:before="10" w:after="10"/>
        <w:rPr>
          <w:rFonts w:ascii="Arial" w:hAnsi="Arial" w:cs="Arial"/>
          <w:color w:val="000000"/>
          <w:sz w:val="18"/>
          <w:szCs w:val="18"/>
        </w:rPr>
      </w:pPr>
      <w:r>
        <w:rPr>
          <w:rFonts w:ascii="Arial" w:hAnsi="Arial" w:cs="Arial"/>
          <w:color w:val="000000"/>
          <w:sz w:val="18"/>
          <w:szCs w:val="18"/>
          <w:vertAlign w:val="superscript"/>
        </w:rPr>
        <w:t>2</w:t>
      </w:r>
      <w:r>
        <w:rPr>
          <w:rFonts w:ascii="Arial" w:hAnsi="Arial" w:cs="Arial"/>
          <w:color w:val="000000"/>
          <w:sz w:val="18"/>
          <w:szCs w:val="18"/>
        </w:rPr>
        <w:t>Full TANDEM score includes POC HbA1c, RPG and age.</w:t>
      </w:r>
    </w:p>
    <w:p w:rsidR="00AA6C49" w:rsidRDefault="00AA6C49" w:rsidP="00AA6C49">
      <w:pPr>
        <w:adjustRightInd w:val="0"/>
        <w:spacing w:before="10" w:after="10"/>
        <w:rPr>
          <w:rFonts w:ascii="Arial" w:hAnsi="Arial" w:cs="Arial"/>
          <w:color w:val="000000"/>
          <w:sz w:val="18"/>
          <w:szCs w:val="18"/>
        </w:rPr>
      </w:pPr>
      <w:r>
        <w:rPr>
          <w:rFonts w:ascii="Arial" w:hAnsi="Arial" w:cs="Arial"/>
          <w:color w:val="000000"/>
          <w:sz w:val="18"/>
          <w:szCs w:val="18"/>
          <w:vertAlign w:val="superscript"/>
        </w:rPr>
        <w:t>3</w:t>
      </w:r>
      <w:r>
        <w:rPr>
          <w:rFonts w:ascii="Arial" w:hAnsi="Arial" w:cs="Arial"/>
          <w:color w:val="000000"/>
          <w:sz w:val="18"/>
          <w:szCs w:val="18"/>
        </w:rPr>
        <w:t>Restricted TANDEM score includes RPG, age, BMI and physical activity.</w:t>
      </w:r>
    </w:p>
    <w:p w:rsidR="00E95354" w:rsidRDefault="00E95354" w:rsidP="00AA6C49">
      <w:pPr>
        <w:adjustRightInd w:val="0"/>
        <w:spacing w:before="10" w:after="10"/>
        <w:rPr>
          <w:rFonts w:ascii="Arial" w:hAnsi="Arial" w:cs="Arial"/>
          <w:color w:val="000000"/>
          <w:sz w:val="18"/>
          <w:szCs w:val="18"/>
        </w:rPr>
      </w:pPr>
    </w:p>
    <w:p w:rsidR="00E95354" w:rsidRDefault="00E95354" w:rsidP="00E95354">
      <w:pPr>
        <w:adjustRightInd w:val="0"/>
        <w:spacing w:before="10" w:after="10"/>
        <w:rPr>
          <w:rFonts w:ascii="Arial" w:hAnsi="Arial" w:cs="Arial"/>
          <w:color w:val="000000"/>
          <w:sz w:val="18"/>
          <w:szCs w:val="18"/>
        </w:rPr>
      </w:pPr>
      <w:r>
        <w:rPr>
          <w:rFonts w:ascii="Arial" w:hAnsi="Arial" w:cs="Arial"/>
          <w:color w:val="000000"/>
          <w:sz w:val="18"/>
          <w:szCs w:val="18"/>
        </w:rPr>
        <w:t>FBG was not available for all TANDEM study participants (</w:t>
      </w:r>
      <w:r w:rsidR="002E7A63">
        <w:rPr>
          <w:rFonts w:ascii="Arial" w:hAnsi="Arial" w:cs="Arial"/>
          <w:color w:val="000000"/>
          <w:sz w:val="18"/>
          <w:szCs w:val="18"/>
        </w:rPr>
        <w:t xml:space="preserve">approximately </w:t>
      </w:r>
      <w:bookmarkStart w:id="8" w:name="_GoBack"/>
      <w:bookmarkEnd w:id="8"/>
      <w:r>
        <w:rPr>
          <w:rFonts w:ascii="Arial" w:hAnsi="Arial" w:cs="Arial"/>
          <w:color w:val="000000"/>
          <w:sz w:val="18"/>
          <w:szCs w:val="18"/>
        </w:rPr>
        <w:t>5</w:t>
      </w:r>
      <w:r w:rsidR="00AA0FF5">
        <w:rPr>
          <w:rFonts w:ascii="Arial" w:hAnsi="Arial" w:cs="Arial"/>
          <w:color w:val="000000"/>
          <w:sz w:val="18"/>
          <w:szCs w:val="18"/>
        </w:rPr>
        <w:t>0</w:t>
      </w:r>
      <w:r>
        <w:rPr>
          <w:rFonts w:ascii="Arial" w:hAnsi="Arial" w:cs="Arial"/>
          <w:color w:val="000000"/>
          <w:sz w:val="18"/>
          <w:szCs w:val="18"/>
        </w:rPr>
        <w:t>% of the total study population</w:t>
      </w:r>
      <w:r w:rsidR="00AA0FF5">
        <w:rPr>
          <w:rFonts w:ascii="Arial" w:hAnsi="Arial" w:cs="Arial"/>
          <w:color w:val="000000"/>
          <w:sz w:val="18"/>
          <w:szCs w:val="18"/>
        </w:rPr>
        <w:t xml:space="preserve"> had received an FBG test). FBG was </w:t>
      </w:r>
      <w:r>
        <w:rPr>
          <w:rFonts w:ascii="Arial" w:hAnsi="Arial" w:cs="Arial"/>
          <w:color w:val="000000"/>
          <w:sz w:val="18"/>
          <w:szCs w:val="18"/>
        </w:rPr>
        <w:t xml:space="preserve">not </w:t>
      </w:r>
      <w:r w:rsidR="00AA0FF5">
        <w:rPr>
          <w:rFonts w:ascii="Arial" w:hAnsi="Arial" w:cs="Arial"/>
          <w:color w:val="000000"/>
          <w:sz w:val="18"/>
          <w:szCs w:val="18"/>
        </w:rPr>
        <w:t xml:space="preserve">routinely </w:t>
      </w:r>
      <w:r>
        <w:rPr>
          <w:rFonts w:ascii="Arial" w:hAnsi="Arial" w:cs="Arial"/>
          <w:color w:val="000000"/>
          <w:sz w:val="18"/>
          <w:szCs w:val="18"/>
        </w:rPr>
        <w:t>taken when RPG at baseline was &lt;6.1 mmol/l</w:t>
      </w:r>
      <w:r w:rsidR="00AA0FF5">
        <w:rPr>
          <w:rFonts w:ascii="Arial" w:hAnsi="Arial" w:cs="Arial"/>
          <w:color w:val="000000"/>
          <w:sz w:val="18"/>
          <w:szCs w:val="18"/>
        </w:rPr>
        <w:t xml:space="preserve"> to negate the requirement for a fasting return visit to the clinic. The exception was in Romania where all TB patients are treated as in-patients during the acute phase and hence all received FBG</w:t>
      </w:r>
      <w:r>
        <w:rPr>
          <w:rFonts w:ascii="Arial" w:hAnsi="Arial" w:cs="Arial"/>
          <w:color w:val="000000"/>
          <w:sz w:val="18"/>
          <w:szCs w:val="18"/>
        </w:rPr>
        <w:t>.</w:t>
      </w:r>
    </w:p>
    <w:p w:rsidR="00E95354" w:rsidRDefault="00E95354" w:rsidP="00AA6C49">
      <w:pPr>
        <w:adjustRightInd w:val="0"/>
        <w:spacing w:before="10" w:after="10"/>
        <w:rPr>
          <w:rFonts w:ascii="Arial" w:hAnsi="Arial" w:cs="Arial"/>
          <w:color w:val="000000"/>
          <w:sz w:val="18"/>
          <w:szCs w:val="18"/>
        </w:rPr>
      </w:pPr>
    </w:p>
    <w:p w:rsidR="00AB11BF" w:rsidRDefault="00AB11BF" w:rsidP="00AA6C49">
      <w:pPr>
        <w:adjustRightInd w:val="0"/>
        <w:spacing w:before="10" w:after="10"/>
        <w:rPr>
          <w:rFonts w:ascii="Arial" w:hAnsi="Arial" w:cs="Arial"/>
          <w:color w:val="000000"/>
          <w:sz w:val="18"/>
          <w:szCs w:val="18"/>
        </w:rPr>
      </w:pPr>
    </w:p>
    <w:p w:rsidR="00AB11BF" w:rsidRDefault="00AB11BF" w:rsidP="00AA6C49">
      <w:pPr>
        <w:adjustRightInd w:val="0"/>
        <w:spacing w:before="10" w:after="10"/>
        <w:rPr>
          <w:rFonts w:ascii="Arial" w:hAnsi="Arial" w:cs="Arial"/>
          <w:color w:val="000000"/>
          <w:sz w:val="18"/>
          <w:szCs w:val="18"/>
        </w:rPr>
      </w:pPr>
    </w:p>
    <w:p w:rsidR="00AA6C49" w:rsidRDefault="00AA6C49" w:rsidP="00AA6C49">
      <w:pPr>
        <w:adjustRightInd w:val="0"/>
        <w:jc w:val="center"/>
        <w:rPr>
          <w:sz w:val="24"/>
          <w:szCs w:val="24"/>
        </w:rPr>
      </w:pPr>
    </w:p>
    <w:p w:rsidR="00E75C35" w:rsidRDefault="00E75C35" w:rsidP="00E75C35">
      <w:pPr>
        <w:pStyle w:val="Heading1"/>
        <w:rPr>
          <w:sz w:val="32"/>
          <w:szCs w:val="32"/>
        </w:rPr>
      </w:pPr>
      <w:r>
        <w:rPr>
          <w:sz w:val="24"/>
          <w:szCs w:val="24"/>
        </w:rPr>
        <w:br w:type="page"/>
      </w:r>
      <w:bookmarkStart w:id="9" w:name="_Toc481062998"/>
      <w:r w:rsidR="00F87567">
        <w:rPr>
          <w:sz w:val="32"/>
          <w:szCs w:val="32"/>
        </w:rPr>
        <w:lastRenderedPageBreak/>
        <w:t xml:space="preserve">APPENDIX </w:t>
      </w:r>
      <w:r w:rsidR="00AE005A">
        <w:rPr>
          <w:sz w:val="32"/>
          <w:szCs w:val="32"/>
        </w:rPr>
        <w:t>9</w:t>
      </w:r>
      <w:r w:rsidRPr="00CA2988">
        <w:rPr>
          <w:sz w:val="32"/>
          <w:szCs w:val="32"/>
        </w:rPr>
        <w:t xml:space="preserve"> Mean laboratory HbA1c by haemoglobin category</w:t>
      </w:r>
      <w:bookmarkEnd w:id="9"/>
    </w:p>
    <w:p w:rsidR="00AA0FF5" w:rsidRDefault="00AA0FF5" w:rsidP="00AA0FF5"/>
    <w:p w:rsidR="00AA0FF5" w:rsidRDefault="00AA0FF5" w:rsidP="00AA0FF5">
      <w:pPr>
        <w:adjustRightInd w:val="0"/>
        <w:rPr>
          <w:rFonts w:ascii="Arial" w:hAnsi="Arial" w:cs="Arial"/>
          <w:b/>
          <w:bCs/>
          <w:color w:val="000000"/>
        </w:rPr>
      </w:pPr>
    </w:p>
    <w:tbl>
      <w:tblPr>
        <w:tblW w:w="0" w:type="auto"/>
        <w:jc w:val="center"/>
        <w:tblLayout w:type="fixed"/>
        <w:tblCellMar>
          <w:left w:w="0" w:type="dxa"/>
          <w:right w:w="0" w:type="dxa"/>
        </w:tblCellMar>
        <w:tblLook w:val="0000" w:firstRow="0" w:lastRow="0" w:firstColumn="0" w:lastColumn="0" w:noHBand="0" w:noVBand="0"/>
      </w:tblPr>
      <w:tblGrid>
        <w:gridCol w:w="2268"/>
        <w:gridCol w:w="1427"/>
        <w:gridCol w:w="2278"/>
      </w:tblGrid>
      <w:tr w:rsidR="00AA0FF5" w:rsidTr="006007DE">
        <w:trPr>
          <w:cantSplit/>
          <w:tblHeader/>
          <w:jc w:val="center"/>
        </w:trPr>
        <w:tc>
          <w:tcPr>
            <w:tcW w:w="2268" w:type="dxa"/>
            <w:tcBorders>
              <w:top w:val="single" w:sz="4" w:space="0" w:color="000000"/>
              <w:left w:val="nil"/>
              <w:bottom w:val="single" w:sz="4" w:space="0" w:color="000000"/>
              <w:right w:val="nil"/>
            </w:tcBorders>
            <w:shd w:val="clear" w:color="auto" w:fill="FFFFFF"/>
            <w:tcMar>
              <w:left w:w="67" w:type="dxa"/>
              <w:right w:w="67" w:type="dxa"/>
            </w:tcMar>
            <w:vAlign w:val="bottom"/>
          </w:tcPr>
          <w:p w:rsidR="00AA0FF5" w:rsidRDefault="00AA0FF5" w:rsidP="006007DE">
            <w:pPr>
              <w:adjustRightInd w:val="0"/>
              <w:spacing w:before="67" w:after="67"/>
              <w:rPr>
                <w:rFonts w:ascii="Arial" w:hAnsi="Arial" w:cs="Arial"/>
                <w:b/>
                <w:bCs/>
                <w:i/>
                <w:iCs/>
                <w:color w:val="000000"/>
                <w:sz w:val="19"/>
                <w:szCs w:val="19"/>
              </w:rPr>
            </w:pPr>
            <w:r>
              <w:rPr>
                <w:rFonts w:ascii="Arial" w:hAnsi="Arial" w:cs="Arial"/>
                <w:b/>
                <w:bCs/>
                <w:i/>
                <w:iCs/>
                <w:color w:val="000000"/>
                <w:sz w:val="19"/>
                <w:szCs w:val="19"/>
              </w:rPr>
              <w:t>Anaemia Category</w:t>
            </w:r>
          </w:p>
        </w:tc>
        <w:tc>
          <w:tcPr>
            <w:tcW w:w="1427" w:type="dxa"/>
            <w:tcBorders>
              <w:top w:val="single" w:sz="4" w:space="0" w:color="000000"/>
              <w:left w:val="nil"/>
              <w:bottom w:val="single" w:sz="4" w:space="0" w:color="000000"/>
              <w:right w:val="nil"/>
            </w:tcBorders>
            <w:shd w:val="clear" w:color="auto" w:fill="FFFFFF"/>
            <w:tcMar>
              <w:left w:w="67" w:type="dxa"/>
              <w:right w:w="67" w:type="dxa"/>
            </w:tcMar>
            <w:vAlign w:val="bottom"/>
          </w:tcPr>
          <w:p w:rsidR="00AA0FF5" w:rsidRDefault="00AA0FF5" w:rsidP="006007DE">
            <w:pPr>
              <w:adjustRightInd w:val="0"/>
              <w:spacing w:before="67" w:after="67"/>
              <w:jc w:val="center"/>
              <w:rPr>
                <w:rFonts w:ascii="Arial" w:hAnsi="Arial" w:cs="Arial"/>
                <w:b/>
                <w:bCs/>
                <w:i/>
                <w:iCs/>
                <w:color w:val="000000"/>
                <w:sz w:val="19"/>
                <w:szCs w:val="19"/>
              </w:rPr>
            </w:pPr>
            <w:r>
              <w:rPr>
                <w:rFonts w:ascii="Arial" w:hAnsi="Arial" w:cs="Arial"/>
                <w:b/>
                <w:bCs/>
                <w:i/>
                <w:iCs/>
                <w:color w:val="000000"/>
                <w:sz w:val="19"/>
                <w:szCs w:val="19"/>
              </w:rPr>
              <w:t>N</w:t>
            </w:r>
          </w:p>
        </w:tc>
        <w:tc>
          <w:tcPr>
            <w:tcW w:w="2278" w:type="dxa"/>
            <w:tcBorders>
              <w:top w:val="single" w:sz="4" w:space="0" w:color="000000"/>
              <w:left w:val="nil"/>
              <w:bottom w:val="single" w:sz="4" w:space="0" w:color="000000"/>
              <w:right w:val="nil"/>
            </w:tcBorders>
            <w:shd w:val="clear" w:color="auto" w:fill="FFFFFF"/>
            <w:tcMar>
              <w:left w:w="67" w:type="dxa"/>
              <w:right w:w="67" w:type="dxa"/>
            </w:tcMar>
            <w:vAlign w:val="bottom"/>
          </w:tcPr>
          <w:p w:rsidR="00AA0FF5" w:rsidRDefault="00AA0FF5" w:rsidP="006007DE">
            <w:pPr>
              <w:adjustRightInd w:val="0"/>
              <w:spacing w:before="67" w:after="67"/>
              <w:jc w:val="center"/>
              <w:rPr>
                <w:rFonts w:ascii="Arial" w:hAnsi="Arial" w:cs="Arial"/>
                <w:b/>
                <w:bCs/>
                <w:i/>
                <w:iCs/>
                <w:color w:val="000000"/>
                <w:sz w:val="19"/>
                <w:szCs w:val="19"/>
              </w:rPr>
            </w:pPr>
            <w:r>
              <w:rPr>
                <w:rFonts w:ascii="Arial" w:hAnsi="Arial" w:cs="Arial"/>
                <w:b/>
                <w:bCs/>
                <w:i/>
                <w:iCs/>
                <w:color w:val="000000"/>
                <w:sz w:val="19"/>
                <w:szCs w:val="19"/>
              </w:rPr>
              <w:t>HbA1c (Mean (95% CI))</w:t>
            </w:r>
          </w:p>
        </w:tc>
      </w:tr>
      <w:tr w:rsidR="00AA0FF5" w:rsidTr="006007DE">
        <w:trPr>
          <w:cantSplit/>
          <w:jc w:val="center"/>
        </w:trPr>
        <w:tc>
          <w:tcPr>
            <w:tcW w:w="2268" w:type="dxa"/>
            <w:tcBorders>
              <w:top w:val="nil"/>
              <w:left w:val="nil"/>
              <w:bottom w:val="nil"/>
              <w:right w:val="nil"/>
            </w:tcBorders>
            <w:shd w:val="clear" w:color="auto" w:fill="FFFFFF"/>
            <w:tcMar>
              <w:left w:w="67" w:type="dxa"/>
              <w:right w:w="67" w:type="dxa"/>
            </w:tcMar>
          </w:tcPr>
          <w:p w:rsidR="00AA0FF5" w:rsidRDefault="00AA0FF5" w:rsidP="006007DE">
            <w:pPr>
              <w:adjustRightInd w:val="0"/>
              <w:spacing w:before="67" w:after="67"/>
              <w:rPr>
                <w:rFonts w:ascii="Arial" w:hAnsi="Arial" w:cs="Arial"/>
                <w:color w:val="000000"/>
                <w:sz w:val="19"/>
                <w:szCs w:val="19"/>
              </w:rPr>
            </w:pPr>
            <w:r>
              <w:rPr>
                <w:rFonts w:ascii="Arial" w:hAnsi="Arial" w:cs="Arial"/>
                <w:color w:val="000000"/>
                <w:sz w:val="19"/>
                <w:szCs w:val="19"/>
              </w:rPr>
              <w:t>Severe</w:t>
            </w:r>
          </w:p>
        </w:tc>
        <w:tc>
          <w:tcPr>
            <w:tcW w:w="1427" w:type="dxa"/>
            <w:tcBorders>
              <w:top w:val="nil"/>
              <w:left w:val="nil"/>
              <w:bottom w:val="nil"/>
              <w:right w:val="nil"/>
            </w:tcBorders>
            <w:shd w:val="clear" w:color="auto" w:fill="FFFFFF"/>
            <w:tcMar>
              <w:left w:w="67" w:type="dxa"/>
              <w:right w:w="67" w:type="dxa"/>
            </w:tcMar>
          </w:tcPr>
          <w:p w:rsidR="00AA0FF5" w:rsidRDefault="000E142F" w:rsidP="006007DE">
            <w:pPr>
              <w:adjustRightInd w:val="0"/>
              <w:spacing w:before="67" w:after="67"/>
              <w:jc w:val="center"/>
              <w:rPr>
                <w:rFonts w:ascii="Arial" w:hAnsi="Arial" w:cs="Arial"/>
                <w:color w:val="000000"/>
                <w:sz w:val="19"/>
                <w:szCs w:val="19"/>
              </w:rPr>
            </w:pPr>
            <w:r>
              <w:rPr>
                <w:rFonts w:ascii="Arial" w:hAnsi="Arial" w:cs="Arial"/>
                <w:color w:val="000000"/>
                <w:sz w:val="19"/>
                <w:szCs w:val="19"/>
              </w:rPr>
              <w:t>26</w:t>
            </w:r>
          </w:p>
        </w:tc>
        <w:tc>
          <w:tcPr>
            <w:tcW w:w="2278" w:type="dxa"/>
            <w:tcBorders>
              <w:top w:val="nil"/>
              <w:left w:val="nil"/>
              <w:bottom w:val="nil"/>
              <w:right w:val="nil"/>
            </w:tcBorders>
            <w:shd w:val="clear" w:color="auto" w:fill="FFFFFF"/>
            <w:tcMar>
              <w:left w:w="67" w:type="dxa"/>
              <w:right w:w="67" w:type="dxa"/>
            </w:tcMar>
          </w:tcPr>
          <w:p w:rsidR="00AA0FF5" w:rsidRDefault="00AA0FF5" w:rsidP="000E142F">
            <w:pPr>
              <w:adjustRightInd w:val="0"/>
              <w:spacing w:before="67" w:after="67"/>
              <w:jc w:val="center"/>
              <w:rPr>
                <w:rFonts w:ascii="Arial" w:hAnsi="Arial" w:cs="Arial"/>
                <w:color w:val="000000"/>
                <w:sz w:val="19"/>
                <w:szCs w:val="19"/>
              </w:rPr>
            </w:pPr>
            <w:r>
              <w:rPr>
                <w:rFonts w:ascii="Arial" w:hAnsi="Arial" w:cs="Arial"/>
                <w:color w:val="000000"/>
                <w:sz w:val="19"/>
                <w:szCs w:val="19"/>
              </w:rPr>
              <w:t>5.3</w:t>
            </w:r>
            <w:r w:rsidR="000E142F">
              <w:rPr>
                <w:rFonts w:ascii="Arial" w:hAnsi="Arial" w:cs="Arial"/>
                <w:color w:val="000000"/>
                <w:sz w:val="19"/>
                <w:szCs w:val="19"/>
              </w:rPr>
              <w:t>0</w:t>
            </w:r>
            <w:r>
              <w:rPr>
                <w:rFonts w:ascii="Arial" w:hAnsi="Arial" w:cs="Arial"/>
                <w:color w:val="000000"/>
                <w:sz w:val="19"/>
                <w:szCs w:val="19"/>
              </w:rPr>
              <w:t xml:space="preserve"> (5.</w:t>
            </w:r>
            <w:r w:rsidR="000E142F">
              <w:rPr>
                <w:rFonts w:ascii="Arial" w:hAnsi="Arial" w:cs="Arial"/>
                <w:color w:val="000000"/>
                <w:sz w:val="19"/>
                <w:szCs w:val="19"/>
              </w:rPr>
              <w:t>09</w:t>
            </w:r>
            <w:r>
              <w:rPr>
                <w:rFonts w:ascii="Arial" w:hAnsi="Arial" w:cs="Arial"/>
                <w:color w:val="000000"/>
                <w:sz w:val="19"/>
                <w:szCs w:val="19"/>
              </w:rPr>
              <w:t xml:space="preserve"> - 5.5</w:t>
            </w:r>
            <w:r w:rsidR="000E142F">
              <w:rPr>
                <w:rFonts w:ascii="Arial" w:hAnsi="Arial" w:cs="Arial"/>
                <w:color w:val="000000"/>
                <w:sz w:val="19"/>
                <w:szCs w:val="19"/>
              </w:rPr>
              <w:t>2</w:t>
            </w:r>
            <w:r>
              <w:rPr>
                <w:rFonts w:ascii="Arial" w:hAnsi="Arial" w:cs="Arial"/>
                <w:color w:val="000000"/>
                <w:sz w:val="19"/>
                <w:szCs w:val="19"/>
              </w:rPr>
              <w:t>)</w:t>
            </w:r>
          </w:p>
        </w:tc>
      </w:tr>
      <w:tr w:rsidR="00AA0FF5" w:rsidTr="006007DE">
        <w:trPr>
          <w:cantSplit/>
          <w:jc w:val="center"/>
        </w:trPr>
        <w:tc>
          <w:tcPr>
            <w:tcW w:w="2268" w:type="dxa"/>
            <w:tcBorders>
              <w:top w:val="nil"/>
              <w:left w:val="nil"/>
              <w:bottom w:val="nil"/>
              <w:right w:val="nil"/>
            </w:tcBorders>
            <w:shd w:val="clear" w:color="auto" w:fill="FFFFFF"/>
            <w:tcMar>
              <w:left w:w="67" w:type="dxa"/>
              <w:right w:w="67" w:type="dxa"/>
            </w:tcMar>
          </w:tcPr>
          <w:p w:rsidR="00AA0FF5" w:rsidRDefault="00AA0FF5" w:rsidP="006007DE">
            <w:pPr>
              <w:adjustRightInd w:val="0"/>
              <w:spacing w:before="67" w:after="67"/>
              <w:rPr>
                <w:rFonts w:ascii="Arial" w:hAnsi="Arial" w:cs="Arial"/>
                <w:color w:val="000000"/>
                <w:sz w:val="19"/>
                <w:szCs w:val="19"/>
              </w:rPr>
            </w:pPr>
            <w:r>
              <w:rPr>
                <w:rFonts w:ascii="Arial" w:hAnsi="Arial" w:cs="Arial"/>
                <w:color w:val="000000"/>
                <w:sz w:val="19"/>
                <w:szCs w:val="19"/>
              </w:rPr>
              <w:t>Moderate</w:t>
            </w:r>
          </w:p>
        </w:tc>
        <w:tc>
          <w:tcPr>
            <w:tcW w:w="1427" w:type="dxa"/>
            <w:tcBorders>
              <w:top w:val="nil"/>
              <w:left w:val="nil"/>
              <w:bottom w:val="nil"/>
              <w:right w:val="nil"/>
            </w:tcBorders>
            <w:shd w:val="clear" w:color="auto" w:fill="FFFFFF"/>
            <w:tcMar>
              <w:left w:w="67" w:type="dxa"/>
              <w:right w:w="67" w:type="dxa"/>
            </w:tcMar>
          </w:tcPr>
          <w:p w:rsidR="00AA0FF5" w:rsidRDefault="000E142F" w:rsidP="006007DE">
            <w:pPr>
              <w:adjustRightInd w:val="0"/>
              <w:spacing w:before="67" w:after="67"/>
              <w:jc w:val="center"/>
              <w:rPr>
                <w:rFonts w:ascii="Arial" w:hAnsi="Arial" w:cs="Arial"/>
                <w:color w:val="000000"/>
                <w:sz w:val="19"/>
                <w:szCs w:val="19"/>
              </w:rPr>
            </w:pPr>
            <w:r>
              <w:rPr>
                <w:rFonts w:ascii="Arial" w:hAnsi="Arial" w:cs="Arial"/>
                <w:color w:val="000000"/>
                <w:sz w:val="19"/>
                <w:szCs w:val="19"/>
              </w:rPr>
              <w:t>349</w:t>
            </w:r>
          </w:p>
        </w:tc>
        <w:tc>
          <w:tcPr>
            <w:tcW w:w="2278" w:type="dxa"/>
            <w:tcBorders>
              <w:top w:val="nil"/>
              <w:left w:val="nil"/>
              <w:bottom w:val="nil"/>
              <w:right w:val="nil"/>
            </w:tcBorders>
            <w:shd w:val="clear" w:color="auto" w:fill="FFFFFF"/>
            <w:tcMar>
              <w:left w:w="67" w:type="dxa"/>
              <w:right w:w="67" w:type="dxa"/>
            </w:tcMar>
          </w:tcPr>
          <w:p w:rsidR="00AA0FF5" w:rsidRDefault="00AA0FF5" w:rsidP="000E142F">
            <w:pPr>
              <w:adjustRightInd w:val="0"/>
              <w:spacing w:before="67" w:after="67"/>
              <w:jc w:val="center"/>
              <w:rPr>
                <w:rFonts w:ascii="Arial" w:hAnsi="Arial" w:cs="Arial"/>
                <w:color w:val="000000"/>
                <w:sz w:val="19"/>
                <w:szCs w:val="19"/>
              </w:rPr>
            </w:pPr>
            <w:r>
              <w:rPr>
                <w:rFonts w:ascii="Arial" w:hAnsi="Arial" w:cs="Arial"/>
                <w:color w:val="000000"/>
                <w:sz w:val="19"/>
                <w:szCs w:val="19"/>
              </w:rPr>
              <w:t>5.</w:t>
            </w:r>
            <w:r w:rsidR="000E142F">
              <w:rPr>
                <w:rFonts w:ascii="Arial" w:hAnsi="Arial" w:cs="Arial"/>
                <w:color w:val="000000"/>
                <w:sz w:val="19"/>
                <w:szCs w:val="19"/>
              </w:rPr>
              <w:t>79</w:t>
            </w:r>
            <w:r>
              <w:rPr>
                <w:rFonts w:ascii="Arial" w:hAnsi="Arial" w:cs="Arial"/>
                <w:color w:val="000000"/>
                <w:sz w:val="19"/>
                <w:szCs w:val="19"/>
              </w:rPr>
              <w:t xml:space="preserve"> (5.</w:t>
            </w:r>
            <w:r w:rsidR="000E142F">
              <w:rPr>
                <w:rFonts w:ascii="Arial" w:hAnsi="Arial" w:cs="Arial"/>
                <w:color w:val="000000"/>
                <w:sz w:val="19"/>
                <w:szCs w:val="19"/>
              </w:rPr>
              <w:t>69</w:t>
            </w:r>
            <w:r>
              <w:rPr>
                <w:rFonts w:ascii="Arial" w:hAnsi="Arial" w:cs="Arial"/>
                <w:color w:val="000000"/>
                <w:sz w:val="19"/>
                <w:szCs w:val="19"/>
              </w:rPr>
              <w:t xml:space="preserve"> – 5.</w:t>
            </w:r>
            <w:r w:rsidR="000E142F">
              <w:rPr>
                <w:rFonts w:ascii="Arial" w:hAnsi="Arial" w:cs="Arial"/>
                <w:color w:val="000000"/>
                <w:sz w:val="19"/>
                <w:szCs w:val="19"/>
              </w:rPr>
              <w:t>89</w:t>
            </w:r>
            <w:r>
              <w:rPr>
                <w:rFonts w:ascii="Arial" w:hAnsi="Arial" w:cs="Arial"/>
                <w:color w:val="000000"/>
                <w:sz w:val="19"/>
                <w:szCs w:val="19"/>
              </w:rPr>
              <w:t>)</w:t>
            </w:r>
          </w:p>
        </w:tc>
      </w:tr>
      <w:tr w:rsidR="00AA0FF5" w:rsidTr="006007DE">
        <w:trPr>
          <w:cantSplit/>
          <w:jc w:val="center"/>
        </w:trPr>
        <w:tc>
          <w:tcPr>
            <w:tcW w:w="2268" w:type="dxa"/>
            <w:tcBorders>
              <w:top w:val="nil"/>
              <w:left w:val="nil"/>
              <w:bottom w:val="nil"/>
              <w:right w:val="nil"/>
            </w:tcBorders>
            <w:shd w:val="clear" w:color="auto" w:fill="FFFFFF"/>
            <w:tcMar>
              <w:left w:w="67" w:type="dxa"/>
              <w:right w:w="67" w:type="dxa"/>
            </w:tcMar>
          </w:tcPr>
          <w:p w:rsidR="00AA0FF5" w:rsidRDefault="00AA0FF5" w:rsidP="006007DE">
            <w:pPr>
              <w:adjustRightInd w:val="0"/>
              <w:spacing w:before="67" w:after="67"/>
              <w:rPr>
                <w:rFonts w:ascii="Arial" w:hAnsi="Arial" w:cs="Arial"/>
                <w:color w:val="000000"/>
                <w:sz w:val="19"/>
                <w:szCs w:val="19"/>
              </w:rPr>
            </w:pPr>
            <w:r>
              <w:rPr>
                <w:rFonts w:ascii="Arial" w:hAnsi="Arial" w:cs="Arial"/>
                <w:color w:val="000000"/>
                <w:sz w:val="19"/>
                <w:szCs w:val="19"/>
              </w:rPr>
              <w:t>Mild</w:t>
            </w:r>
          </w:p>
        </w:tc>
        <w:tc>
          <w:tcPr>
            <w:tcW w:w="1427" w:type="dxa"/>
            <w:tcBorders>
              <w:top w:val="nil"/>
              <w:left w:val="nil"/>
              <w:bottom w:val="nil"/>
              <w:right w:val="nil"/>
            </w:tcBorders>
            <w:shd w:val="clear" w:color="auto" w:fill="FFFFFF"/>
            <w:tcMar>
              <w:left w:w="67" w:type="dxa"/>
              <w:right w:w="67" w:type="dxa"/>
            </w:tcMar>
          </w:tcPr>
          <w:p w:rsidR="00AA0FF5" w:rsidRDefault="000E142F" w:rsidP="006007DE">
            <w:pPr>
              <w:adjustRightInd w:val="0"/>
              <w:spacing w:before="67" w:after="67"/>
              <w:jc w:val="center"/>
              <w:rPr>
                <w:rFonts w:ascii="Arial" w:hAnsi="Arial" w:cs="Arial"/>
                <w:color w:val="000000"/>
                <w:sz w:val="19"/>
                <w:szCs w:val="19"/>
              </w:rPr>
            </w:pPr>
            <w:r>
              <w:rPr>
                <w:rFonts w:ascii="Arial" w:hAnsi="Arial" w:cs="Arial"/>
                <w:color w:val="000000"/>
                <w:sz w:val="19"/>
                <w:szCs w:val="19"/>
              </w:rPr>
              <w:t>555</w:t>
            </w:r>
          </w:p>
        </w:tc>
        <w:tc>
          <w:tcPr>
            <w:tcW w:w="2278" w:type="dxa"/>
            <w:tcBorders>
              <w:top w:val="nil"/>
              <w:left w:val="nil"/>
              <w:bottom w:val="nil"/>
              <w:right w:val="nil"/>
            </w:tcBorders>
            <w:shd w:val="clear" w:color="auto" w:fill="FFFFFF"/>
            <w:tcMar>
              <w:left w:w="67" w:type="dxa"/>
              <w:right w:w="67" w:type="dxa"/>
            </w:tcMar>
          </w:tcPr>
          <w:p w:rsidR="00AA0FF5" w:rsidRDefault="00AA0FF5" w:rsidP="000E142F">
            <w:pPr>
              <w:adjustRightInd w:val="0"/>
              <w:spacing w:before="67" w:after="67"/>
              <w:jc w:val="center"/>
              <w:rPr>
                <w:rFonts w:ascii="Arial" w:hAnsi="Arial" w:cs="Arial"/>
                <w:color w:val="000000"/>
                <w:sz w:val="19"/>
                <w:szCs w:val="19"/>
              </w:rPr>
            </w:pPr>
            <w:r>
              <w:rPr>
                <w:rFonts w:ascii="Arial" w:hAnsi="Arial" w:cs="Arial"/>
                <w:color w:val="000000"/>
                <w:sz w:val="19"/>
                <w:szCs w:val="19"/>
              </w:rPr>
              <w:t>5.8</w:t>
            </w:r>
            <w:r w:rsidR="000E142F">
              <w:rPr>
                <w:rFonts w:ascii="Arial" w:hAnsi="Arial" w:cs="Arial"/>
                <w:color w:val="000000"/>
                <w:sz w:val="19"/>
                <w:szCs w:val="19"/>
              </w:rPr>
              <w:t>3</w:t>
            </w:r>
            <w:r>
              <w:rPr>
                <w:rFonts w:ascii="Arial" w:hAnsi="Arial" w:cs="Arial"/>
                <w:color w:val="000000"/>
                <w:sz w:val="19"/>
                <w:szCs w:val="19"/>
              </w:rPr>
              <w:t xml:space="preserve"> (5.7</w:t>
            </w:r>
            <w:r w:rsidR="000E142F">
              <w:rPr>
                <w:rFonts w:ascii="Arial" w:hAnsi="Arial" w:cs="Arial"/>
                <w:color w:val="000000"/>
                <w:sz w:val="19"/>
                <w:szCs w:val="19"/>
              </w:rPr>
              <w:t>5</w:t>
            </w:r>
            <w:r>
              <w:rPr>
                <w:rFonts w:ascii="Arial" w:hAnsi="Arial" w:cs="Arial"/>
                <w:color w:val="000000"/>
                <w:sz w:val="19"/>
                <w:szCs w:val="19"/>
              </w:rPr>
              <w:t xml:space="preserve"> - 5.9</w:t>
            </w:r>
            <w:r w:rsidR="000E142F">
              <w:rPr>
                <w:rFonts w:ascii="Arial" w:hAnsi="Arial" w:cs="Arial"/>
                <w:color w:val="000000"/>
                <w:sz w:val="19"/>
                <w:szCs w:val="19"/>
              </w:rPr>
              <w:t>1</w:t>
            </w:r>
            <w:r>
              <w:rPr>
                <w:rFonts w:ascii="Arial" w:hAnsi="Arial" w:cs="Arial"/>
                <w:color w:val="000000"/>
                <w:sz w:val="19"/>
                <w:szCs w:val="19"/>
              </w:rPr>
              <w:t>)</w:t>
            </w:r>
          </w:p>
        </w:tc>
      </w:tr>
      <w:tr w:rsidR="00AA0FF5" w:rsidTr="006007DE">
        <w:trPr>
          <w:cantSplit/>
          <w:jc w:val="center"/>
        </w:trPr>
        <w:tc>
          <w:tcPr>
            <w:tcW w:w="2268" w:type="dxa"/>
            <w:tcBorders>
              <w:top w:val="nil"/>
              <w:left w:val="nil"/>
              <w:bottom w:val="single" w:sz="4" w:space="0" w:color="000000"/>
              <w:right w:val="nil"/>
            </w:tcBorders>
            <w:shd w:val="clear" w:color="auto" w:fill="FFFFFF"/>
            <w:tcMar>
              <w:left w:w="67" w:type="dxa"/>
              <w:right w:w="67" w:type="dxa"/>
            </w:tcMar>
          </w:tcPr>
          <w:p w:rsidR="00AA0FF5" w:rsidRDefault="00AA0FF5" w:rsidP="006007DE">
            <w:pPr>
              <w:adjustRightInd w:val="0"/>
              <w:spacing w:before="67" w:after="67"/>
              <w:rPr>
                <w:rFonts w:ascii="Arial" w:hAnsi="Arial" w:cs="Arial"/>
                <w:color w:val="000000"/>
                <w:sz w:val="19"/>
                <w:szCs w:val="19"/>
              </w:rPr>
            </w:pPr>
            <w:r>
              <w:rPr>
                <w:rFonts w:ascii="Arial" w:hAnsi="Arial" w:cs="Arial"/>
                <w:color w:val="000000"/>
                <w:sz w:val="19"/>
                <w:szCs w:val="19"/>
              </w:rPr>
              <w:t>No anaemia</w:t>
            </w:r>
          </w:p>
        </w:tc>
        <w:tc>
          <w:tcPr>
            <w:tcW w:w="1427" w:type="dxa"/>
            <w:tcBorders>
              <w:top w:val="nil"/>
              <w:left w:val="nil"/>
              <w:bottom w:val="single" w:sz="4" w:space="0" w:color="000000"/>
              <w:right w:val="nil"/>
            </w:tcBorders>
            <w:shd w:val="clear" w:color="auto" w:fill="FFFFFF"/>
            <w:tcMar>
              <w:left w:w="67" w:type="dxa"/>
              <w:right w:w="67" w:type="dxa"/>
            </w:tcMar>
          </w:tcPr>
          <w:p w:rsidR="00AA0FF5" w:rsidRDefault="000E142F" w:rsidP="006007DE">
            <w:pPr>
              <w:adjustRightInd w:val="0"/>
              <w:spacing w:before="67" w:after="67"/>
              <w:jc w:val="center"/>
              <w:rPr>
                <w:rFonts w:ascii="Arial" w:hAnsi="Arial" w:cs="Arial"/>
                <w:color w:val="000000"/>
                <w:sz w:val="19"/>
                <w:szCs w:val="19"/>
              </w:rPr>
            </w:pPr>
            <w:r>
              <w:rPr>
                <w:rFonts w:ascii="Arial" w:hAnsi="Arial" w:cs="Arial"/>
                <w:color w:val="000000"/>
                <w:sz w:val="19"/>
                <w:szCs w:val="19"/>
              </w:rPr>
              <w:t>901</w:t>
            </w:r>
          </w:p>
        </w:tc>
        <w:tc>
          <w:tcPr>
            <w:tcW w:w="2278" w:type="dxa"/>
            <w:tcBorders>
              <w:top w:val="nil"/>
              <w:left w:val="nil"/>
              <w:bottom w:val="single" w:sz="4" w:space="0" w:color="000000"/>
              <w:right w:val="nil"/>
            </w:tcBorders>
            <w:shd w:val="clear" w:color="auto" w:fill="FFFFFF"/>
            <w:tcMar>
              <w:left w:w="67" w:type="dxa"/>
              <w:right w:w="67" w:type="dxa"/>
            </w:tcMar>
          </w:tcPr>
          <w:p w:rsidR="00AA0FF5" w:rsidRDefault="00AA0FF5" w:rsidP="000E142F">
            <w:pPr>
              <w:adjustRightInd w:val="0"/>
              <w:spacing w:before="67" w:after="67"/>
              <w:jc w:val="center"/>
              <w:rPr>
                <w:rFonts w:ascii="Arial" w:hAnsi="Arial" w:cs="Arial"/>
                <w:color w:val="000000"/>
                <w:sz w:val="19"/>
                <w:szCs w:val="19"/>
              </w:rPr>
            </w:pPr>
            <w:r>
              <w:rPr>
                <w:rFonts w:ascii="Arial" w:hAnsi="Arial" w:cs="Arial"/>
                <w:color w:val="000000"/>
                <w:sz w:val="19"/>
                <w:szCs w:val="19"/>
              </w:rPr>
              <w:t>5.</w:t>
            </w:r>
            <w:r w:rsidR="000E142F">
              <w:rPr>
                <w:rFonts w:ascii="Arial" w:hAnsi="Arial" w:cs="Arial"/>
                <w:color w:val="000000"/>
                <w:sz w:val="19"/>
                <w:szCs w:val="19"/>
              </w:rPr>
              <w:t>76</w:t>
            </w:r>
            <w:r>
              <w:rPr>
                <w:rFonts w:ascii="Arial" w:hAnsi="Arial" w:cs="Arial"/>
                <w:color w:val="000000"/>
                <w:sz w:val="19"/>
                <w:szCs w:val="19"/>
              </w:rPr>
              <w:t xml:space="preserve"> (5.</w:t>
            </w:r>
            <w:r w:rsidR="000E142F">
              <w:rPr>
                <w:rFonts w:ascii="Arial" w:hAnsi="Arial" w:cs="Arial"/>
                <w:color w:val="000000"/>
                <w:sz w:val="19"/>
                <w:szCs w:val="19"/>
              </w:rPr>
              <w:t>69</w:t>
            </w:r>
            <w:r>
              <w:rPr>
                <w:rFonts w:ascii="Arial" w:hAnsi="Arial" w:cs="Arial"/>
                <w:color w:val="000000"/>
                <w:sz w:val="19"/>
                <w:szCs w:val="19"/>
              </w:rPr>
              <w:t xml:space="preserve"> - 5.</w:t>
            </w:r>
            <w:r w:rsidR="000E142F">
              <w:rPr>
                <w:rFonts w:ascii="Arial" w:hAnsi="Arial" w:cs="Arial"/>
                <w:color w:val="000000"/>
                <w:sz w:val="19"/>
                <w:szCs w:val="19"/>
              </w:rPr>
              <w:t>83</w:t>
            </w:r>
            <w:r>
              <w:rPr>
                <w:rFonts w:ascii="Arial" w:hAnsi="Arial" w:cs="Arial"/>
                <w:color w:val="000000"/>
                <w:sz w:val="19"/>
                <w:szCs w:val="19"/>
              </w:rPr>
              <w:t>)</w:t>
            </w:r>
          </w:p>
        </w:tc>
      </w:tr>
    </w:tbl>
    <w:p w:rsidR="00AA0FF5" w:rsidRDefault="00AA0FF5" w:rsidP="00AA0FF5">
      <w:pPr>
        <w:adjustRightInd w:val="0"/>
        <w:rPr>
          <w:rFonts w:ascii="Arial" w:hAnsi="Arial" w:cs="Arial"/>
          <w:color w:val="000000"/>
          <w:sz w:val="19"/>
          <w:szCs w:val="19"/>
        </w:rPr>
      </w:pPr>
    </w:p>
    <w:p w:rsidR="005A4AEF" w:rsidRDefault="005A4AEF" w:rsidP="005A4AEF">
      <w:pPr>
        <w:adjustRightInd w:val="0"/>
        <w:rPr>
          <w:rFonts w:ascii="Arial" w:hAnsi="Arial" w:cs="Arial"/>
          <w:i/>
          <w:color w:val="000000"/>
          <w:sz w:val="22"/>
          <w:szCs w:val="22"/>
        </w:rPr>
      </w:pPr>
      <w:r w:rsidRPr="005A4AEF">
        <w:rPr>
          <w:rFonts w:ascii="Arial" w:hAnsi="Arial" w:cs="Arial"/>
          <w:i/>
          <w:color w:val="000000"/>
          <w:sz w:val="22"/>
          <w:szCs w:val="22"/>
        </w:rPr>
        <w:t>Likelihood ratio test for general association between anaemia category a</w:t>
      </w:r>
      <w:r w:rsidR="000E142F">
        <w:rPr>
          <w:rFonts w:ascii="Arial" w:hAnsi="Arial" w:cs="Arial"/>
          <w:i/>
          <w:color w:val="000000"/>
          <w:sz w:val="22"/>
          <w:szCs w:val="22"/>
        </w:rPr>
        <w:t>nd mean laboratory HbA1c: P=0.071</w:t>
      </w:r>
    </w:p>
    <w:p w:rsidR="000E142F" w:rsidRPr="005A4AEF" w:rsidRDefault="000E142F" w:rsidP="005A4AEF">
      <w:pPr>
        <w:adjustRightInd w:val="0"/>
        <w:rPr>
          <w:i/>
          <w:sz w:val="22"/>
          <w:szCs w:val="22"/>
        </w:rPr>
      </w:pPr>
      <w:r>
        <w:rPr>
          <w:rFonts w:ascii="Arial" w:hAnsi="Arial" w:cs="Arial"/>
          <w:i/>
          <w:color w:val="000000"/>
          <w:sz w:val="22"/>
          <w:szCs w:val="22"/>
        </w:rPr>
        <w:t>Wald</w:t>
      </w:r>
      <w:r w:rsidR="00BE053D">
        <w:rPr>
          <w:rFonts w:ascii="Arial" w:hAnsi="Arial" w:cs="Arial"/>
          <w:i/>
          <w:color w:val="000000"/>
          <w:sz w:val="22"/>
          <w:szCs w:val="22"/>
        </w:rPr>
        <w:t xml:space="preserve"> chi-square</w:t>
      </w:r>
      <w:r>
        <w:rPr>
          <w:rFonts w:ascii="Arial" w:hAnsi="Arial" w:cs="Arial"/>
          <w:i/>
          <w:color w:val="000000"/>
          <w:sz w:val="22"/>
          <w:szCs w:val="22"/>
        </w:rPr>
        <w:t xml:space="preserve"> test comparing severe anaemia with no anaemia: P=0.027</w:t>
      </w:r>
    </w:p>
    <w:p w:rsidR="00AA0FF5" w:rsidRDefault="00AA0FF5" w:rsidP="00AA0FF5">
      <w:pPr>
        <w:adjustRightInd w:val="0"/>
        <w:jc w:val="center"/>
        <w:rPr>
          <w:sz w:val="24"/>
          <w:szCs w:val="24"/>
        </w:rPr>
      </w:pPr>
    </w:p>
    <w:p w:rsidR="005A4AEF" w:rsidRDefault="005A4AEF" w:rsidP="005A4AEF">
      <w:pPr>
        <w:adjustRightInd w:val="0"/>
        <w:spacing w:before="10" w:after="10"/>
        <w:rPr>
          <w:rFonts w:ascii="Arial" w:hAnsi="Arial" w:cs="Arial"/>
          <w:color w:val="000000"/>
          <w:sz w:val="22"/>
          <w:szCs w:val="22"/>
        </w:rPr>
      </w:pPr>
    </w:p>
    <w:p w:rsidR="00AA0FF5" w:rsidRPr="000E142F" w:rsidRDefault="00AA0FF5" w:rsidP="005A4AEF">
      <w:pPr>
        <w:adjustRightInd w:val="0"/>
        <w:spacing w:before="10" w:after="10"/>
        <w:rPr>
          <w:rFonts w:asciiTheme="minorHAnsi" w:hAnsiTheme="minorHAnsi" w:cstheme="minorHAnsi"/>
          <w:sz w:val="22"/>
          <w:szCs w:val="22"/>
        </w:rPr>
      </w:pPr>
      <w:r w:rsidRPr="000E142F">
        <w:rPr>
          <w:rFonts w:asciiTheme="minorHAnsi" w:hAnsiTheme="minorHAnsi" w:cstheme="minorHAnsi"/>
          <w:color w:val="000000"/>
          <w:sz w:val="22"/>
          <w:szCs w:val="22"/>
          <w:u w:val="single"/>
        </w:rPr>
        <w:t>Anaemia categories</w:t>
      </w:r>
      <w:r w:rsidRPr="000E142F">
        <w:rPr>
          <w:rFonts w:asciiTheme="minorHAnsi" w:hAnsiTheme="minorHAnsi" w:cstheme="minorHAnsi"/>
          <w:color w:val="000000"/>
          <w:sz w:val="22"/>
          <w:szCs w:val="22"/>
        </w:rPr>
        <w:t xml:space="preserve"> </w:t>
      </w:r>
      <w:r w:rsidRPr="000E142F">
        <w:rPr>
          <w:rFonts w:asciiTheme="minorHAnsi" w:hAnsiTheme="minorHAnsi" w:cstheme="minorHAnsi"/>
          <w:sz w:val="22"/>
          <w:szCs w:val="22"/>
        </w:rPr>
        <w:t>based on standard WHO definitions, for men and women separately</w:t>
      </w:r>
      <w:r w:rsidR="005A4AEF" w:rsidRPr="000E142F">
        <w:rPr>
          <w:rFonts w:asciiTheme="minorHAnsi" w:hAnsiTheme="minorHAnsi" w:cstheme="minorHAnsi"/>
          <w:sz w:val="22"/>
          <w:szCs w:val="22"/>
        </w:rPr>
        <w:t xml:space="preserve">. </w:t>
      </w:r>
      <w:r w:rsidRPr="000E142F">
        <w:rPr>
          <w:rFonts w:asciiTheme="minorHAnsi" w:hAnsiTheme="minorHAnsi" w:cstheme="minorHAnsi"/>
          <w:sz w:val="22"/>
          <w:szCs w:val="22"/>
        </w:rPr>
        <w:t xml:space="preserve">Among non-pregnant women (&gt;15 years) non-anaemia defined as haemoglobin levels &gt;120g/L, mild anaemia defined as 110-119g/L, moderate anaemia was defined as 80-109g/L, and severe anaemia was defined as &lt;80g/L; among men, non-anaemia defined as &gt;130g/L, mild anaemia was defined as 110-129g/L, moderate anaemia defined as 80-109g/L, and severe anaemia defined as &lt;80g/L. </w:t>
      </w:r>
    </w:p>
    <w:p w:rsidR="00AA0FF5" w:rsidRPr="000E142F" w:rsidRDefault="00AA0FF5" w:rsidP="00AA0FF5">
      <w:pPr>
        <w:pStyle w:val="EndnoteText"/>
        <w:rPr>
          <w:rFonts w:cstheme="minorHAnsi"/>
          <w:sz w:val="22"/>
          <w:szCs w:val="22"/>
        </w:rPr>
      </w:pPr>
    </w:p>
    <w:p w:rsidR="005A4AEF" w:rsidRPr="005A4AEF" w:rsidRDefault="005A4AEF" w:rsidP="005A4AEF">
      <w:pPr>
        <w:ind w:left="720" w:hanging="720"/>
        <w:jc w:val="both"/>
        <w:rPr>
          <w:rFonts w:ascii="Calibri" w:hAnsi="Calibri"/>
          <w:noProof/>
          <w:sz w:val="22"/>
          <w:szCs w:val="22"/>
        </w:rPr>
      </w:pPr>
      <w:r w:rsidRPr="005A4AEF">
        <w:rPr>
          <w:rFonts w:ascii="Calibri" w:hAnsi="Calibri"/>
          <w:noProof/>
          <w:sz w:val="22"/>
          <w:szCs w:val="22"/>
        </w:rPr>
        <w:t xml:space="preserve">WHO. Haemoglobin concentrations for the diagnosis of anaemia and assessment of severity. </w:t>
      </w:r>
      <w:r w:rsidRPr="005A4AEF">
        <w:rPr>
          <w:rFonts w:ascii="Calibri" w:hAnsi="Calibri"/>
          <w:i/>
          <w:noProof/>
          <w:sz w:val="22"/>
          <w:szCs w:val="22"/>
        </w:rPr>
        <w:t>Vitamin and Mineral Nutrition Information System</w:t>
      </w:r>
      <w:r w:rsidRPr="005A4AEF">
        <w:rPr>
          <w:rFonts w:ascii="Calibri" w:hAnsi="Calibri"/>
          <w:noProof/>
          <w:sz w:val="22"/>
          <w:szCs w:val="22"/>
        </w:rPr>
        <w:t>. Geneva World Health Organisation, 2011.</w:t>
      </w:r>
    </w:p>
    <w:p w:rsidR="00AA0FF5" w:rsidRPr="005A4AEF" w:rsidRDefault="00AA0FF5" w:rsidP="00AA0FF5">
      <w:pPr>
        <w:adjustRightInd w:val="0"/>
        <w:jc w:val="center"/>
        <w:rPr>
          <w:sz w:val="22"/>
          <w:szCs w:val="22"/>
        </w:rPr>
      </w:pPr>
    </w:p>
    <w:p w:rsidR="00AA0FF5" w:rsidRPr="005A4AEF" w:rsidRDefault="00AA0FF5" w:rsidP="00AA0FF5">
      <w:pPr>
        <w:adjustRightInd w:val="0"/>
        <w:jc w:val="center"/>
        <w:rPr>
          <w:sz w:val="22"/>
          <w:szCs w:val="22"/>
        </w:rPr>
      </w:pPr>
    </w:p>
    <w:p w:rsidR="00AA0FF5" w:rsidRPr="005A4AEF" w:rsidRDefault="00AA0FF5" w:rsidP="00AA0FF5">
      <w:pPr>
        <w:rPr>
          <w:sz w:val="22"/>
          <w:szCs w:val="22"/>
        </w:rPr>
      </w:pPr>
    </w:p>
    <w:p w:rsidR="00F473A5" w:rsidRDefault="00F473A5">
      <w:pPr>
        <w:autoSpaceDE/>
        <w:autoSpaceDN/>
        <w:spacing w:after="160" w:line="259" w:lineRule="auto"/>
        <w:rPr>
          <w:sz w:val="24"/>
          <w:szCs w:val="24"/>
        </w:rPr>
      </w:pPr>
      <w:r>
        <w:rPr>
          <w:sz w:val="24"/>
          <w:szCs w:val="24"/>
        </w:rPr>
        <w:br w:type="page"/>
      </w:r>
    </w:p>
    <w:sectPr w:rsidR="00F473A5">
      <w:pgSz w:w="16837" w:h="11905" w:orient="landscape"/>
      <w:pgMar w:top="1440" w:right="1134" w:bottom="1440" w:left="1134"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3A5" w:rsidRDefault="00F473A5">
      <w:r>
        <w:separator/>
      </w:r>
    </w:p>
    <w:p w:rsidR="00F473A5" w:rsidRDefault="00F473A5"/>
    <w:p w:rsidR="00F473A5" w:rsidRDefault="00F473A5"/>
  </w:endnote>
  <w:endnote w:type="continuationSeparator" w:id="0">
    <w:p w:rsidR="00F473A5" w:rsidRDefault="00F473A5">
      <w:r>
        <w:continuationSeparator/>
      </w:r>
    </w:p>
    <w:p w:rsidR="00F473A5" w:rsidRDefault="00F473A5"/>
    <w:p w:rsidR="00F473A5" w:rsidRDefault="00F47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3A5" w:rsidRDefault="00F473A5">
    <w:pPr>
      <w:pStyle w:val="Footer"/>
      <w:jc w:val="right"/>
    </w:pPr>
    <w:r>
      <w:fldChar w:fldCharType="begin"/>
    </w:r>
    <w:r>
      <w:instrText xml:space="preserve"> PAGE   \* MERGEFORMAT </w:instrText>
    </w:r>
    <w:r>
      <w:fldChar w:fldCharType="separate"/>
    </w:r>
    <w:r w:rsidR="00E920F7">
      <w:rPr>
        <w:noProof/>
      </w:rPr>
      <w:t>28</w:t>
    </w:r>
    <w:r>
      <w:fldChar w:fldCharType="end"/>
    </w:r>
  </w:p>
  <w:p w:rsidR="00F473A5" w:rsidRDefault="00F47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3A5" w:rsidRDefault="00F473A5">
      <w:r>
        <w:separator/>
      </w:r>
    </w:p>
    <w:p w:rsidR="00F473A5" w:rsidRDefault="00F473A5"/>
    <w:p w:rsidR="00F473A5" w:rsidRDefault="00F473A5"/>
  </w:footnote>
  <w:footnote w:type="continuationSeparator" w:id="0">
    <w:p w:rsidR="00F473A5" w:rsidRDefault="00F473A5">
      <w:r>
        <w:continuationSeparator/>
      </w:r>
    </w:p>
    <w:p w:rsidR="00F473A5" w:rsidRDefault="00F473A5"/>
    <w:p w:rsidR="00F473A5" w:rsidRDefault="00F473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3A5" w:rsidRDefault="00F473A5">
    <w:r>
      <w:rPr>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A7002F"/>
    <w:multiLevelType w:val="hybridMultilevel"/>
    <w:tmpl w:val="856E7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Lancet&lt;/Style&gt;&lt;LeftDelim&gt;{&lt;/LeftDelim&gt;&lt;RightDelim&gt;}&lt;/RightDelim&gt;&lt;FontName&gt;Times New Roman&lt;/FontName&gt;&lt;FontSize&gt;10&lt;/FontSize&gt;&lt;ReflistTitle&gt;&amp;#xA;&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vwdzrtfdis255je2tt0prx0pfsaf2drwr9tz&quot;&gt;HES tuberculosis paper Copy&lt;record-ids&gt;&lt;item&gt;361&lt;/item&gt;&lt;/record-ids&gt;&lt;/item&gt;&lt;/Libraries&gt;"/>
  </w:docVars>
  <w:rsids>
    <w:rsidRoot w:val="00AA6C49"/>
    <w:rsid w:val="00007F11"/>
    <w:rsid w:val="0003359F"/>
    <w:rsid w:val="00065373"/>
    <w:rsid w:val="000701B6"/>
    <w:rsid w:val="00091698"/>
    <w:rsid w:val="00094D92"/>
    <w:rsid w:val="000A663B"/>
    <w:rsid w:val="000B5467"/>
    <w:rsid w:val="000C3162"/>
    <w:rsid w:val="000D0A23"/>
    <w:rsid w:val="000E142F"/>
    <w:rsid w:val="00127C7E"/>
    <w:rsid w:val="00130314"/>
    <w:rsid w:val="00151821"/>
    <w:rsid w:val="0017398A"/>
    <w:rsid w:val="001A076F"/>
    <w:rsid w:val="001D1D9E"/>
    <w:rsid w:val="001F3576"/>
    <w:rsid w:val="0023261F"/>
    <w:rsid w:val="00270CFE"/>
    <w:rsid w:val="00273987"/>
    <w:rsid w:val="00282A57"/>
    <w:rsid w:val="002A0C37"/>
    <w:rsid w:val="002A3070"/>
    <w:rsid w:val="002B1E24"/>
    <w:rsid w:val="002B24B8"/>
    <w:rsid w:val="002C5D29"/>
    <w:rsid w:val="002E527D"/>
    <w:rsid w:val="002E7A63"/>
    <w:rsid w:val="00315BAB"/>
    <w:rsid w:val="003878BA"/>
    <w:rsid w:val="003A2780"/>
    <w:rsid w:val="004159CF"/>
    <w:rsid w:val="00425BE7"/>
    <w:rsid w:val="004278B5"/>
    <w:rsid w:val="0045335C"/>
    <w:rsid w:val="004A578B"/>
    <w:rsid w:val="004D33FD"/>
    <w:rsid w:val="004E26ED"/>
    <w:rsid w:val="004E34A7"/>
    <w:rsid w:val="004E688A"/>
    <w:rsid w:val="004F45A3"/>
    <w:rsid w:val="00512981"/>
    <w:rsid w:val="00521392"/>
    <w:rsid w:val="0055349E"/>
    <w:rsid w:val="00555A98"/>
    <w:rsid w:val="0056322C"/>
    <w:rsid w:val="00572C1B"/>
    <w:rsid w:val="0059662E"/>
    <w:rsid w:val="005A4AEF"/>
    <w:rsid w:val="005C238F"/>
    <w:rsid w:val="006007DE"/>
    <w:rsid w:val="00604374"/>
    <w:rsid w:val="00615D2A"/>
    <w:rsid w:val="00635C2E"/>
    <w:rsid w:val="00646067"/>
    <w:rsid w:val="00660505"/>
    <w:rsid w:val="006640FE"/>
    <w:rsid w:val="006D56D9"/>
    <w:rsid w:val="007152D1"/>
    <w:rsid w:val="007466B6"/>
    <w:rsid w:val="00762BFF"/>
    <w:rsid w:val="00767951"/>
    <w:rsid w:val="00797300"/>
    <w:rsid w:val="007A581F"/>
    <w:rsid w:val="007B2D87"/>
    <w:rsid w:val="007B64B7"/>
    <w:rsid w:val="007B7330"/>
    <w:rsid w:val="007F3853"/>
    <w:rsid w:val="007F6159"/>
    <w:rsid w:val="008359D6"/>
    <w:rsid w:val="0087271C"/>
    <w:rsid w:val="008D2731"/>
    <w:rsid w:val="008D605B"/>
    <w:rsid w:val="008D7E4F"/>
    <w:rsid w:val="008E507C"/>
    <w:rsid w:val="009246A0"/>
    <w:rsid w:val="00990798"/>
    <w:rsid w:val="00994322"/>
    <w:rsid w:val="009A6C6D"/>
    <w:rsid w:val="009D1B96"/>
    <w:rsid w:val="009D53AD"/>
    <w:rsid w:val="009D636E"/>
    <w:rsid w:val="009D7B76"/>
    <w:rsid w:val="00A16214"/>
    <w:rsid w:val="00A77178"/>
    <w:rsid w:val="00A83682"/>
    <w:rsid w:val="00AA0FF5"/>
    <w:rsid w:val="00AA6C49"/>
    <w:rsid w:val="00AB11BF"/>
    <w:rsid w:val="00AE005A"/>
    <w:rsid w:val="00B266C6"/>
    <w:rsid w:val="00B52490"/>
    <w:rsid w:val="00B561CB"/>
    <w:rsid w:val="00B836ED"/>
    <w:rsid w:val="00BB463B"/>
    <w:rsid w:val="00BD1F9C"/>
    <w:rsid w:val="00BE053D"/>
    <w:rsid w:val="00C2706F"/>
    <w:rsid w:val="00C34D8D"/>
    <w:rsid w:val="00C37617"/>
    <w:rsid w:val="00C55384"/>
    <w:rsid w:val="00CA21BE"/>
    <w:rsid w:val="00CA2988"/>
    <w:rsid w:val="00CB5896"/>
    <w:rsid w:val="00CC3AFE"/>
    <w:rsid w:val="00CD7802"/>
    <w:rsid w:val="00D40794"/>
    <w:rsid w:val="00D42658"/>
    <w:rsid w:val="00D56AEB"/>
    <w:rsid w:val="00DF0CF1"/>
    <w:rsid w:val="00E150FB"/>
    <w:rsid w:val="00E36817"/>
    <w:rsid w:val="00E5145B"/>
    <w:rsid w:val="00E540F7"/>
    <w:rsid w:val="00E63C1F"/>
    <w:rsid w:val="00E75C35"/>
    <w:rsid w:val="00E920F7"/>
    <w:rsid w:val="00E93F69"/>
    <w:rsid w:val="00E95354"/>
    <w:rsid w:val="00EB2238"/>
    <w:rsid w:val="00EE0FCE"/>
    <w:rsid w:val="00F045E7"/>
    <w:rsid w:val="00F22382"/>
    <w:rsid w:val="00F33C7D"/>
    <w:rsid w:val="00F473A5"/>
    <w:rsid w:val="00F87567"/>
    <w:rsid w:val="00F90B4A"/>
    <w:rsid w:val="00FA2B13"/>
    <w:rsid w:val="00FB29D5"/>
    <w:rsid w:val="00FD3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190E5FA-6438-4A38-8843-103F1E81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Times New Roman" w:hAnsi="Times New Roman"/>
      <w:sz w:val="20"/>
      <w:szCs w:val="20"/>
    </w:rPr>
  </w:style>
  <w:style w:type="paragraph" w:styleId="Heading1">
    <w:name w:val="heading 1"/>
    <w:basedOn w:val="Normal"/>
    <w:next w:val="Normal"/>
    <w:link w:val="Heading1Char"/>
    <w:uiPriority w:val="9"/>
    <w:qFormat/>
    <w:rsid w:val="00AA6C49"/>
    <w:pPr>
      <w:adjustRightInd w:val="0"/>
      <w:spacing w:before="10" w:after="10"/>
      <w:outlineLvl w:val="0"/>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A6C49"/>
    <w:rPr>
      <w:rFonts w:ascii="Arial" w:hAnsi="Arial" w:cs="Arial"/>
      <w:b/>
      <w:bCs/>
      <w:color w:val="000000"/>
      <w:sz w:val="20"/>
      <w:szCs w:val="20"/>
    </w:rPr>
  </w:style>
  <w:style w:type="paragraph" w:styleId="TOCHeading">
    <w:name w:val="TOC Heading"/>
    <w:basedOn w:val="Heading1"/>
    <w:next w:val="Normal"/>
    <w:uiPriority w:val="39"/>
    <w:unhideWhenUsed/>
    <w:qFormat/>
    <w:rsid w:val="00AA6C49"/>
    <w:pPr>
      <w:keepNext/>
      <w:keepLines/>
      <w:autoSpaceDE/>
      <w:autoSpaceDN/>
      <w:adjustRightInd/>
      <w:spacing w:before="240" w:after="0" w:line="259" w:lineRule="auto"/>
      <w:outlineLvl w:val="9"/>
    </w:pPr>
    <w:rPr>
      <w:rFonts w:ascii="Calibri Light" w:hAnsi="Calibri Light" w:cs="Times New Roman"/>
      <w:b w:val="0"/>
      <w:bCs w:val="0"/>
      <w:color w:val="2E74B5"/>
      <w:sz w:val="32"/>
      <w:szCs w:val="32"/>
      <w:lang w:val="en-US" w:eastAsia="en-US"/>
    </w:rPr>
  </w:style>
  <w:style w:type="paragraph" w:styleId="TOC1">
    <w:name w:val="toc 1"/>
    <w:basedOn w:val="Normal"/>
    <w:next w:val="Normal"/>
    <w:autoRedefine/>
    <w:uiPriority w:val="39"/>
    <w:unhideWhenUsed/>
    <w:rsid w:val="00AA6C49"/>
  </w:style>
  <w:style w:type="character" w:styleId="Hyperlink">
    <w:name w:val="Hyperlink"/>
    <w:basedOn w:val="DefaultParagraphFont"/>
    <w:uiPriority w:val="99"/>
    <w:unhideWhenUsed/>
    <w:rsid w:val="00AA6C49"/>
    <w:rPr>
      <w:rFonts w:cs="Times New Roman"/>
      <w:color w:val="0563C1"/>
      <w:u w:val="single"/>
    </w:rPr>
  </w:style>
  <w:style w:type="paragraph" w:styleId="Header">
    <w:name w:val="header"/>
    <w:basedOn w:val="Normal"/>
    <w:link w:val="HeaderChar"/>
    <w:uiPriority w:val="99"/>
    <w:unhideWhenUsed/>
    <w:rsid w:val="00AA6C49"/>
    <w:pPr>
      <w:tabs>
        <w:tab w:val="center" w:pos="4513"/>
        <w:tab w:val="right" w:pos="9026"/>
      </w:tabs>
    </w:pPr>
  </w:style>
  <w:style w:type="character" w:customStyle="1" w:styleId="HeaderChar">
    <w:name w:val="Header Char"/>
    <w:basedOn w:val="DefaultParagraphFont"/>
    <w:link w:val="Header"/>
    <w:uiPriority w:val="99"/>
    <w:locked/>
    <w:rsid w:val="00AA6C49"/>
    <w:rPr>
      <w:rFonts w:ascii="Times New Roman" w:hAnsi="Times New Roman" w:cs="Times New Roman"/>
      <w:sz w:val="20"/>
      <w:szCs w:val="20"/>
    </w:rPr>
  </w:style>
  <w:style w:type="paragraph" w:styleId="Footer">
    <w:name w:val="footer"/>
    <w:basedOn w:val="Normal"/>
    <w:link w:val="FooterChar"/>
    <w:uiPriority w:val="99"/>
    <w:unhideWhenUsed/>
    <w:rsid w:val="00AA6C49"/>
    <w:pPr>
      <w:tabs>
        <w:tab w:val="center" w:pos="4513"/>
        <w:tab w:val="right" w:pos="9026"/>
      </w:tabs>
    </w:pPr>
  </w:style>
  <w:style w:type="character" w:customStyle="1" w:styleId="FooterChar">
    <w:name w:val="Footer Char"/>
    <w:basedOn w:val="DefaultParagraphFont"/>
    <w:link w:val="Footer"/>
    <w:uiPriority w:val="99"/>
    <w:locked/>
    <w:rsid w:val="00AA6C49"/>
    <w:rPr>
      <w:rFonts w:ascii="Times New Roman" w:hAnsi="Times New Roman" w:cs="Times New Roman"/>
      <w:sz w:val="20"/>
      <w:szCs w:val="20"/>
    </w:rPr>
  </w:style>
  <w:style w:type="paragraph" w:customStyle="1" w:styleId="EndNoteBibliographyTitle">
    <w:name w:val="EndNote Bibliography Title"/>
    <w:basedOn w:val="Normal"/>
    <w:link w:val="EndNoteBibliographyTitleChar"/>
    <w:rsid w:val="00994322"/>
    <w:pPr>
      <w:jc w:val="center"/>
    </w:pPr>
    <w:rPr>
      <w:noProof/>
    </w:rPr>
  </w:style>
  <w:style w:type="character" w:customStyle="1" w:styleId="EndNoteBibliographyTitleChar">
    <w:name w:val="EndNote Bibliography Title Char"/>
    <w:basedOn w:val="DefaultParagraphFont"/>
    <w:link w:val="EndNoteBibliographyTitle"/>
    <w:locked/>
    <w:rsid w:val="00994322"/>
    <w:rPr>
      <w:rFonts w:ascii="Times New Roman" w:hAnsi="Times New Roman" w:cs="Times New Roman"/>
      <w:noProof/>
      <w:sz w:val="20"/>
      <w:szCs w:val="20"/>
    </w:rPr>
  </w:style>
  <w:style w:type="paragraph" w:customStyle="1" w:styleId="EndNoteBibliography">
    <w:name w:val="EndNote Bibliography"/>
    <w:basedOn w:val="Normal"/>
    <w:link w:val="EndNoteBibliographyChar"/>
    <w:rsid w:val="00994322"/>
    <w:pPr>
      <w:jc w:val="center"/>
    </w:pPr>
    <w:rPr>
      <w:noProof/>
    </w:rPr>
  </w:style>
  <w:style w:type="character" w:customStyle="1" w:styleId="EndNoteBibliographyChar">
    <w:name w:val="EndNote Bibliography Char"/>
    <w:basedOn w:val="DefaultParagraphFont"/>
    <w:link w:val="EndNoteBibliography"/>
    <w:locked/>
    <w:rsid w:val="00994322"/>
    <w:rPr>
      <w:rFonts w:ascii="Times New Roman" w:hAnsi="Times New Roman" w:cs="Times New Roman"/>
      <w:noProof/>
      <w:sz w:val="20"/>
      <w:szCs w:val="20"/>
    </w:rPr>
  </w:style>
  <w:style w:type="character" w:customStyle="1" w:styleId="element-citation">
    <w:name w:val="element-citation"/>
    <w:rsid w:val="0059662E"/>
  </w:style>
  <w:style w:type="character" w:customStyle="1" w:styleId="ref-journal">
    <w:name w:val="ref-journal"/>
    <w:rsid w:val="0059662E"/>
  </w:style>
  <w:style w:type="character" w:customStyle="1" w:styleId="ref-vol">
    <w:name w:val="ref-vol"/>
    <w:rsid w:val="0059662E"/>
  </w:style>
  <w:style w:type="paragraph" w:styleId="PlainText">
    <w:name w:val="Plain Text"/>
    <w:basedOn w:val="Normal"/>
    <w:link w:val="PlainTextChar"/>
    <w:uiPriority w:val="99"/>
    <w:unhideWhenUsed/>
    <w:rsid w:val="006D56D9"/>
    <w:pPr>
      <w:autoSpaceDE/>
      <w:autoSpaceDN/>
    </w:pPr>
    <w:rPr>
      <w:rFonts w:ascii="Calibri" w:hAnsi="Calibri"/>
      <w:sz w:val="22"/>
      <w:szCs w:val="22"/>
    </w:rPr>
  </w:style>
  <w:style w:type="character" w:customStyle="1" w:styleId="PlainTextChar">
    <w:name w:val="Plain Text Char"/>
    <w:basedOn w:val="DefaultParagraphFont"/>
    <w:link w:val="PlainText"/>
    <w:uiPriority w:val="99"/>
    <w:locked/>
    <w:rsid w:val="006D56D9"/>
    <w:rPr>
      <w:rFonts w:ascii="Calibri" w:hAnsi="Calibri" w:cs="Times New Roman"/>
    </w:rPr>
  </w:style>
  <w:style w:type="character" w:styleId="CommentReference">
    <w:name w:val="annotation reference"/>
    <w:basedOn w:val="DefaultParagraphFont"/>
    <w:uiPriority w:val="99"/>
    <w:semiHidden/>
    <w:unhideWhenUsed/>
    <w:rsid w:val="00604374"/>
    <w:rPr>
      <w:rFonts w:cs="Times New Roman"/>
      <w:sz w:val="16"/>
    </w:rPr>
  </w:style>
  <w:style w:type="paragraph" w:styleId="CommentText">
    <w:name w:val="annotation text"/>
    <w:basedOn w:val="Normal"/>
    <w:link w:val="CommentTextChar"/>
    <w:uiPriority w:val="99"/>
    <w:unhideWhenUsed/>
    <w:rsid w:val="00604374"/>
    <w:pPr>
      <w:autoSpaceDE/>
      <w:autoSpaceDN/>
      <w:jc w:val="both"/>
    </w:pPr>
    <w:rPr>
      <w:rFonts w:ascii="Calibri" w:hAnsi="Calibri"/>
      <w:lang w:eastAsia="en-US"/>
    </w:rPr>
  </w:style>
  <w:style w:type="character" w:customStyle="1" w:styleId="CommentTextChar">
    <w:name w:val="Comment Text Char"/>
    <w:basedOn w:val="DefaultParagraphFont"/>
    <w:link w:val="CommentText"/>
    <w:uiPriority w:val="99"/>
    <w:locked/>
    <w:rsid w:val="00604374"/>
    <w:rPr>
      <w:rFonts w:ascii="Calibri" w:hAnsi="Calibri" w:cs="Times New Roman"/>
      <w:sz w:val="20"/>
      <w:szCs w:val="20"/>
      <w:lang w:val="x-none" w:eastAsia="en-US"/>
    </w:rPr>
  </w:style>
  <w:style w:type="paragraph" w:styleId="BalloonText">
    <w:name w:val="Balloon Text"/>
    <w:basedOn w:val="Normal"/>
    <w:link w:val="BalloonTextChar"/>
    <w:uiPriority w:val="99"/>
    <w:semiHidden/>
    <w:unhideWhenUsed/>
    <w:rsid w:val="008D273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D2731"/>
    <w:rPr>
      <w:rFonts w:ascii="Segoe UI" w:hAnsi="Segoe UI" w:cs="Segoe UI"/>
      <w:sz w:val="18"/>
      <w:szCs w:val="18"/>
    </w:rPr>
  </w:style>
  <w:style w:type="paragraph" w:styleId="EndnoteText">
    <w:name w:val="endnote text"/>
    <w:basedOn w:val="Normal"/>
    <w:link w:val="EndnoteTextChar"/>
    <w:uiPriority w:val="99"/>
    <w:semiHidden/>
    <w:unhideWhenUsed/>
    <w:rsid w:val="00AA0FF5"/>
    <w:pPr>
      <w:autoSpaceDE/>
      <w:autoSpaceDN/>
    </w:pPr>
    <w:rPr>
      <w:rFonts w:asciiTheme="minorHAnsi" w:hAnsiTheme="minorHAnsi" w:cstheme="minorBidi"/>
      <w:lang w:eastAsia="zh-CN"/>
    </w:rPr>
  </w:style>
  <w:style w:type="character" w:customStyle="1" w:styleId="EndnoteTextChar">
    <w:name w:val="Endnote Text Char"/>
    <w:basedOn w:val="DefaultParagraphFont"/>
    <w:link w:val="EndnoteText"/>
    <w:uiPriority w:val="99"/>
    <w:semiHidden/>
    <w:rsid w:val="00AA0FF5"/>
    <w:rPr>
      <w:rFonts w:cstheme="minorBidi"/>
      <w:sz w:val="20"/>
      <w:szCs w:val="20"/>
      <w:lang w:eastAsia="zh-CN"/>
    </w:rPr>
  </w:style>
  <w:style w:type="paragraph" w:styleId="ListParagraph">
    <w:name w:val="List Paragraph"/>
    <w:basedOn w:val="Normal"/>
    <w:uiPriority w:val="34"/>
    <w:qFormat/>
    <w:rsid w:val="00F47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857695">
      <w:marLeft w:val="0"/>
      <w:marRight w:val="0"/>
      <w:marTop w:val="0"/>
      <w:marBottom w:val="0"/>
      <w:divBdr>
        <w:top w:val="none" w:sz="0" w:space="0" w:color="auto"/>
        <w:left w:val="none" w:sz="0" w:space="0" w:color="auto"/>
        <w:bottom w:val="none" w:sz="0" w:space="0" w:color="auto"/>
        <w:right w:val="none" w:sz="0" w:space="0" w:color="auto"/>
      </w:divBdr>
    </w:div>
    <w:div w:id="12928576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00314-5EC3-4AF1-9C4B-1D279D56E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4718</Words>
  <Characters>28896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V9.4 SAS System Output</vt:lpstr>
    </vt:vector>
  </TitlesOfParts>
  <Company/>
  <LinksUpToDate>false</LinksUpToDate>
  <CharactersWithSpaces>33547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Julia Critchley</cp:lastModifiedBy>
  <cp:revision>2</cp:revision>
  <cp:lastPrinted>2018-07-24T09:18:00Z</cp:lastPrinted>
  <dcterms:created xsi:type="dcterms:W3CDTF">2018-08-23T14:39:00Z</dcterms:created>
  <dcterms:modified xsi:type="dcterms:W3CDTF">2018-08-23T14:39:00Z</dcterms:modified>
</cp:coreProperties>
</file>