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1DA8" w14:textId="77777777" w:rsidR="00475FDA" w:rsidRPr="00B64FF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B64FF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Pr="00E056AE"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E056AE">
        <w:rPr>
          <w:rFonts w:cstheme="minorHAnsi"/>
          <w:b/>
          <w:sz w:val="32"/>
          <w:szCs w:val="32"/>
        </w:rPr>
        <w:t>Qualitative</w:t>
      </w:r>
      <w:r w:rsidR="00472921" w:rsidRPr="00E056AE">
        <w:rPr>
          <w:rFonts w:cstheme="minorHAnsi"/>
          <w:b/>
          <w:sz w:val="32"/>
          <w:szCs w:val="32"/>
        </w:rPr>
        <w:t xml:space="preserve"> Protocol </w:t>
      </w:r>
      <w:r w:rsidR="0002148A" w:rsidRPr="00E056AE">
        <w:rPr>
          <w:rFonts w:cstheme="minorHAnsi"/>
          <w:b/>
          <w:sz w:val="32"/>
          <w:szCs w:val="32"/>
        </w:rPr>
        <w:t>Development Tool</w:t>
      </w:r>
    </w:p>
    <w:p w14:paraId="1FBC6E5C" w14:textId="77777777" w:rsidR="00734DEC" w:rsidRPr="00E056AE"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E056AE" w:rsidRDefault="00734DEC" w:rsidP="00734DEC">
      <w:pPr>
        <w:spacing w:after="150"/>
        <w:rPr>
          <w:rFonts w:cstheme="minorHAnsi"/>
          <w:szCs w:val="22"/>
          <w:lang w:val="en-US" w:eastAsia="en-GB"/>
        </w:rPr>
      </w:pPr>
      <w:r w:rsidRPr="00E056AE">
        <w:rPr>
          <w:rFonts w:cstheme="minorHAnsi"/>
          <w:szCs w:val="22"/>
          <w:lang w:val="en-US" w:eastAsia="en-GB"/>
        </w:rPr>
        <w:t>The research protocol forms an essential part of a research project. It is a full description of the research study and will act as a ‘manual’ for members of the research team to ensure adherence to the methods outlined. As the study gets underway, it can then be used to monitor the study’s progress and evaluate its outcomes. </w:t>
      </w:r>
    </w:p>
    <w:p w14:paraId="1AE27C6B" w14:textId="5167C8A7" w:rsidR="00734DEC" w:rsidRPr="00E056AE"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lang w:val="en-US" w:eastAsia="en-GB"/>
        </w:rPr>
      </w:pPr>
      <w:r w:rsidRPr="00E056AE">
        <w:rPr>
          <w:rFonts w:cstheme="minorHAnsi"/>
          <w:szCs w:val="22"/>
          <w:lang w:val="en-US" w:eastAsia="en-GB"/>
        </w:rPr>
        <w:t>The protocol should go into as much detail about the research project as possible, to enable the review bodies to fully understand your study</w:t>
      </w:r>
      <w:r w:rsidR="00125CCC" w:rsidRPr="00E056AE">
        <w:rPr>
          <w:rFonts w:cstheme="minorHAnsi"/>
          <w:szCs w:val="22"/>
          <w:lang w:val="en-US" w:eastAsia="en-GB"/>
        </w:rPr>
        <w:t>.</w:t>
      </w:r>
    </w:p>
    <w:p w14:paraId="0DFFEAB0" w14:textId="77777777" w:rsidR="00734DEC" w:rsidRPr="00E056AE"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B671C99" w14:textId="77777777" w:rsidR="004859A3" w:rsidRPr="00E056AE"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E056AE">
        <w:rPr>
          <w:rFonts w:cstheme="minorHAnsi"/>
          <w:szCs w:val="22"/>
          <w:lang w:val="en-US"/>
        </w:rPr>
        <w:t xml:space="preserve">The use of this collated consensus guidance and template is not mandatory. The guidance and template are published as standards to encourage and enable responsible research. </w:t>
      </w:r>
    </w:p>
    <w:p w14:paraId="10A617B6" w14:textId="77777777" w:rsidR="004859A3" w:rsidRPr="00E056AE"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E056AE">
        <w:rPr>
          <w:rFonts w:cstheme="minorHAnsi"/>
          <w:szCs w:val="22"/>
          <w:lang w:val="en-US"/>
        </w:rPr>
        <w:t xml:space="preserve">The document will: </w:t>
      </w:r>
    </w:p>
    <w:p w14:paraId="2DBC71F4" w14:textId="77777777" w:rsidR="004859A3" w:rsidRPr="00E056AE" w:rsidRDefault="004859A3" w:rsidP="001406ED">
      <w:pPr>
        <w:pStyle w:val="ListParagraph"/>
        <w:numPr>
          <w:ilvl w:val="0"/>
          <w:numId w:val="1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E056AE">
        <w:rPr>
          <w:rFonts w:cstheme="minorHAnsi"/>
          <w:lang w:val="en-US"/>
        </w:rPr>
        <w:t xml:space="preserve">Support researchers developing protocols where the sponsor does not already use a template </w:t>
      </w:r>
    </w:p>
    <w:p w14:paraId="19EE1FD6" w14:textId="316C595C" w:rsidR="004859A3" w:rsidRPr="00E056AE" w:rsidRDefault="004859A3" w:rsidP="001406ED">
      <w:pPr>
        <w:pStyle w:val="ListParagraph"/>
        <w:numPr>
          <w:ilvl w:val="0"/>
          <w:numId w:val="1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E056AE">
        <w:rPr>
          <w:rFonts w:cstheme="minorHAnsi"/>
          <w:lang w:val="en-US"/>
        </w:rPr>
        <w:t xml:space="preserve">Support sponsors wishing to develop template protocols in line with national guidance </w:t>
      </w:r>
    </w:p>
    <w:p w14:paraId="078AB0B8" w14:textId="5F480226" w:rsidR="009655F2" w:rsidRPr="00E056AE" w:rsidRDefault="004859A3" w:rsidP="001406ED">
      <w:pPr>
        <w:pStyle w:val="ListParagraph"/>
        <w:numPr>
          <w:ilvl w:val="0"/>
          <w:numId w:val="1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E056AE">
        <w:rPr>
          <w:rFonts w:cstheme="minorHAnsi"/>
          <w:lang w:val="en-US"/>
        </w:rPr>
        <w:t xml:space="preserve">Support sponsors to review their existing protocol template to ensure that it is in line with national guidance. </w:t>
      </w:r>
    </w:p>
    <w:p w14:paraId="1966E367" w14:textId="77777777" w:rsidR="004859A3" w:rsidRPr="00E056AE"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lang w:val="en-US"/>
        </w:rPr>
      </w:pPr>
    </w:p>
    <w:p w14:paraId="058EE577" w14:textId="26CEFCB0" w:rsidR="00970C8D" w:rsidRPr="00E056AE"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cstheme="minorHAnsi"/>
          <w:szCs w:val="22"/>
        </w:rPr>
      </w:pPr>
      <w:r w:rsidRPr="00E056AE">
        <w:rPr>
          <w:rFonts w:cstheme="minorHAnsi"/>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6DC0B5E4" w14:textId="77777777" w:rsidR="00EB3796" w:rsidRPr="00E056AE"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p>
    <w:p w14:paraId="7EC681BD" w14:textId="426819FC" w:rsidR="001560EF" w:rsidRPr="00E056AE"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rPr>
      </w:pPr>
      <w:r w:rsidRPr="00E056AE">
        <w:rPr>
          <w:rFonts w:cstheme="minorHAnsi"/>
          <w:szCs w:val="22"/>
        </w:rPr>
        <w:t>We would</w:t>
      </w:r>
      <w:r w:rsidR="00970C8D" w:rsidRPr="00E056AE">
        <w:rPr>
          <w:rFonts w:cstheme="minorHAnsi"/>
          <w:szCs w:val="22"/>
        </w:rPr>
        <w:t xml:space="preserve"> appreciate self-</w:t>
      </w:r>
      <w:r w:rsidRPr="00E056AE">
        <w:rPr>
          <w:rFonts w:cstheme="minorHAnsi"/>
          <w:szCs w:val="22"/>
        </w:rPr>
        <w:t xml:space="preserve">declaration of how you’ve used this template so we are able to measure its uptake. </w:t>
      </w:r>
    </w:p>
    <w:p w14:paraId="2021F6E6" w14:textId="6E0350DD" w:rsidR="009655F2" w:rsidRPr="00E056AE"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E056AE">
        <w:rPr>
          <w:rFonts w:cstheme="minorHAnsi"/>
        </w:rPr>
        <w:t>P</w:t>
      </w:r>
      <w:r w:rsidR="009655F2" w:rsidRPr="00E056AE">
        <w:rPr>
          <w:rFonts w:cstheme="minorHAnsi"/>
        </w:rPr>
        <w:t>lease indicate the compatibility of this template with any existing templates you already use by stating one of the following on the front of each submitted protocol:</w:t>
      </w:r>
    </w:p>
    <w:p w14:paraId="5D46A63C" w14:textId="4414236D" w:rsidR="00EB3796" w:rsidRPr="00E056AE" w:rsidRDefault="001560EF" w:rsidP="00C339BB">
      <w:pPr>
        <w:pStyle w:val="ListParagraph"/>
        <w:numPr>
          <w:ilvl w:val="0"/>
          <w:numId w:val="1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sidRPr="00E056AE">
        <w:rPr>
          <w:rFonts w:cstheme="minorHAnsi"/>
          <w:b/>
          <w:sz w:val="24"/>
        </w:rPr>
        <w:t>This</w:t>
      </w:r>
      <w:r w:rsidR="009655F2" w:rsidRPr="00E056AE">
        <w:rPr>
          <w:rFonts w:cstheme="minorHAnsi"/>
          <w:b/>
          <w:sz w:val="24"/>
        </w:rPr>
        <w:t xml:space="preserve"> protocol has regard for the HRA guidance and order of content</w:t>
      </w:r>
    </w:p>
    <w:p w14:paraId="7A6439DD" w14:textId="77777777" w:rsidR="00EB3796" w:rsidRPr="00E056AE" w:rsidRDefault="00EB3796" w:rsidP="00EB3796">
      <w:pPr>
        <w:spacing w:after="0" w:line="240" w:lineRule="auto"/>
        <w:rPr>
          <w:rFonts w:cstheme="minorHAnsi"/>
          <w:b/>
        </w:rPr>
      </w:pPr>
    </w:p>
    <w:p w14:paraId="720CCCF7" w14:textId="77777777" w:rsidR="00EB3796" w:rsidRPr="00E056AE" w:rsidRDefault="00EB3796" w:rsidP="00EB3796">
      <w:pPr>
        <w:spacing w:after="0" w:line="240" w:lineRule="auto"/>
        <w:rPr>
          <w:rFonts w:cstheme="minorHAnsi"/>
          <w:b/>
        </w:rPr>
      </w:pPr>
    </w:p>
    <w:p w14:paraId="70201F55" w14:textId="77777777" w:rsidR="00EB3796" w:rsidRPr="00E056AE" w:rsidRDefault="00EB3796" w:rsidP="00EB3796">
      <w:pPr>
        <w:spacing w:after="0" w:line="240" w:lineRule="auto"/>
        <w:rPr>
          <w:rFonts w:cstheme="minorHAnsi"/>
          <w:b/>
        </w:rPr>
      </w:pPr>
    </w:p>
    <w:p w14:paraId="1B5EE69C" w14:textId="77777777" w:rsidR="00EB3796" w:rsidRPr="00E056AE" w:rsidRDefault="00EB3796" w:rsidP="00EB3796">
      <w:pPr>
        <w:spacing w:after="0" w:line="240" w:lineRule="auto"/>
        <w:rPr>
          <w:rFonts w:cstheme="minorHAnsi"/>
          <w:b/>
        </w:rPr>
      </w:pPr>
    </w:p>
    <w:p w14:paraId="3A774F7F" w14:textId="77777777" w:rsidR="00EB3796" w:rsidRPr="00E056AE" w:rsidRDefault="00EB3796" w:rsidP="00EB3796">
      <w:pPr>
        <w:spacing w:after="0" w:line="240" w:lineRule="auto"/>
        <w:rPr>
          <w:rFonts w:cstheme="minorHAnsi"/>
          <w:b/>
        </w:rPr>
      </w:pPr>
    </w:p>
    <w:p w14:paraId="0E319295" w14:textId="77777777" w:rsidR="00EB3796" w:rsidRPr="00E056AE" w:rsidRDefault="00EB3796" w:rsidP="00EB3796">
      <w:pPr>
        <w:spacing w:after="0" w:line="240" w:lineRule="auto"/>
        <w:rPr>
          <w:rFonts w:cstheme="minorHAnsi"/>
          <w:b/>
        </w:rPr>
      </w:pPr>
    </w:p>
    <w:p w14:paraId="1ED110A2" w14:textId="77777777" w:rsidR="00EB3796" w:rsidRPr="00E056AE" w:rsidRDefault="00EB3796" w:rsidP="00EB3796">
      <w:pPr>
        <w:spacing w:after="0" w:line="240" w:lineRule="auto"/>
        <w:rPr>
          <w:rFonts w:cstheme="minorHAnsi"/>
          <w:b/>
        </w:rPr>
      </w:pPr>
    </w:p>
    <w:p w14:paraId="5577DAA9" w14:textId="77777777" w:rsidR="00EB3796" w:rsidRPr="00E056AE" w:rsidRDefault="00EB3796" w:rsidP="00EB3796">
      <w:pPr>
        <w:spacing w:after="0" w:line="240" w:lineRule="auto"/>
        <w:rPr>
          <w:rFonts w:cstheme="minorHAnsi"/>
          <w:b/>
        </w:rPr>
      </w:pPr>
    </w:p>
    <w:p w14:paraId="720C6DFE" w14:textId="77777777" w:rsidR="00EB3796" w:rsidRPr="00E056AE" w:rsidRDefault="00EB3796" w:rsidP="00EB3796">
      <w:pPr>
        <w:spacing w:after="0" w:line="240" w:lineRule="auto"/>
        <w:rPr>
          <w:rFonts w:cstheme="minorHAnsi"/>
          <w:b/>
        </w:rPr>
      </w:pPr>
    </w:p>
    <w:p w14:paraId="6CBA19A9" w14:textId="77777777" w:rsidR="00EB3796" w:rsidRPr="00E056AE" w:rsidRDefault="00EB3796" w:rsidP="00EB3796">
      <w:pPr>
        <w:spacing w:after="0" w:line="240" w:lineRule="auto"/>
        <w:rPr>
          <w:rFonts w:cstheme="minorHAnsi"/>
          <w:b/>
        </w:rPr>
      </w:pPr>
    </w:p>
    <w:p w14:paraId="0C84F2B8" w14:textId="4E9F3AD5" w:rsidR="00475FDA" w:rsidRPr="00E056AE" w:rsidRDefault="00475FDA" w:rsidP="00EB3796">
      <w:pPr>
        <w:spacing w:after="0" w:line="240" w:lineRule="auto"/>
        <w:rPr>
          <w:rFonts w:cstheme="minorHAnsi"/>
          <w:b/>
          <w:szCs w:val="22"/>
        </w:rPr>
      </w:pPr>
      <w:r w:rsidRPr="00E056AE">
        <w:rPr>
          <w:rFonts w:cstheme="minorHAnsi"/>
          <w:b/>
          <w:szCs w:val="22"/>
        </w:rPr>
        <w:t xml:space="preserve">FULL/LONG TITLE OF THE </w:t>
      </w:r>
      <w:r w:rsidR="0003364E" w:rsidRPr="00E056AE">
        <w:rPr>
          <w:rFonts w:cstheme="minorHAnsi"/>
          <w:b/>
          <w:szCs w:val="22"/>
        </w:rPr>
        <w:t>STUDY</w:t>
      </w:r>
    </w:p>
    <w:p w14:paraId="078CC192" w14:textId="0FBD4B3B" w:rsidR="004767A3" w:rsidRPr="00E056AE" w:rsidRDefault="00187A6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Semi-structured interviews and focus groups to explore </w:t>
      </w:r>
      <w:r w:rsidR="008579DC" w:rsidRPr="00E056AE">
        <w:rPr>
          <w:rFonts w:cstheme="minorHAnsi"/>
          <w:szCs w:val="22"/>
        </w:rPr>
        <w:t xml:space="preserve">the experiences, views, and concerns of both </w:t>
      </w:r>
      <w:r w:rsidRPr="00E056AE">
        <w:rPr>
          <w:rFonts w:cstheme="minorHAnsi"/>
          <w:szCs w:val="22"/>
        </w:rPr>
        <w:t>migrant patient</w:t>
      </w:r>
      <w:r w:rsidR="008579DC" w:rsidRPr="00E056AE">
        <w:rPr>
          <w:rFonts w:cstheme="minorHAnsi"/>
          <w:szCs w:val="22"/>
        </w:rPr>
        <w:t>s</w:t>
      </w:r>
      <w:r w:rsidRPr="00E056AE">
        <w:rPr>
          <w:rFonts w:cstheme="minorHAnsi"/>
          <w:szCs w:val="22"/>
        </w:rPr>
        <w:t xml:space="preserve"> and </w:t>
      </w:r>
      <w:r w:rsidR="008579DC" w:rsidRPr="00E056AE">
        <w:rPr>
          <w:rFonts w:cstheme="minorHAnsi"/>
          <w:szCs w:val="22"/>
        </w:rPr>
        <w:t>health-</w:t>
      </w:r>
      <w:r w:rsidRPr="00E056AE">
        <w:rPr>
          <w:rFonts w:cstheme="minorHAnsi"/>
          <w:szCs w:val="22"/>
        </w:rPr>
        <w:t>service provider</w:t>
      </w:r>
      <w:r w:rsidR="008579DC" w:rsidRPr="00E056AE">
        <w:rPr>
          <w:rFonts w:cstheme="minorHAnsi"/>
          <w:szCs w:val="22"/>
        </w:rPr>
        <w:t>s</w:t>
      </w:r>
      <w:r w:rsidRPr="00E056AE">
        <w:rPr>
          <w:rFonts w:cstheme="minorHAnsi"/>
          <w:szCs w:val="22"/>
        </w:rPr>
        <w:t xml:space="preserve"> </w:t>
      </w:r>
      <w:r w:rsidR="008579DC" w:rsidRPr="00E056AE">
        <w:rPr>
          <w:rFonts w:cstheme="minorHAnsi"/>
          <w:szCs w:val="22"/>
        </w:rPr>
        <w:t>around receiving or delivering</w:t>
      </w:r>
      <w:r w:rsidRPr="00E056AE">
        <w:rPr>
          <w:rFonts w:cstheme="minorHAnsi"/>
          <w:szCs w:val="22"/>
        </w:rPr>
        <w:t xml:space="preserve"> </w:t>
      </w:r>
      <w:r w:rsidR="008579DC" w:rsidRPr="00E056AE">
        <w:rPr>
          <w:rFonts w:cstheme="minorHAnsi"/>
          <w:szCs w:val="22"/>
        </w:rPr>
        <w:t>treatment and care for l</w:t>
      </w:r>
      <w:r w:rsidRPr="00E056AE">
        <w:rPr>
          <w:rFonts w:cstheme="minorHAnsi"/>
          <w:szCs w:val="22"/>
        </w:rPr>
        <w:t xml:space="preserve">atent </w:t>
      </w:r>
      <w:r w:rsidR="008579DC" w:rsidRPr="00E056AE">
        <w:rPr>
          <w:rFonts w:cstheme="minorHAnsi"/>
          <w:szCs w:val="22"/>
        </w:rPr>
        <w:t>t</w:t>
      </w:r>
      <w:r w:rsidRPr="00E056AE">
        <w:rPr>
          <w:rFonts w:cstheme="minorHAnsi"/>
          <w:szCs w:val="22"/>
        </w:rPr>
        <w:t xml:space="preserve">uberculosis </w:t>
      </w:r>
      <w:r w:rsidR="008579DC" w:rsidRPr="00E056AE">
        <w:rPr>
          <w:rFonts w:cstheme="minorHAnsi"/>
          <w:szCs w:val="22"/>
        </w:rPr>
        <w:t>i</w:t>
      </w:r>
      <w:r w:rsidRPr="00E056AE">
        <w:rPr>
          <w:rFonts w:cstheme="minorHAnsi"/>
          <w:szCs w:val="22"/>
        </w:rPr>
        <w:t xml:space="preserve">nfection (LTBI) and active </w:t>
      </w:r>
      <w:r w:rsidR="008579DC" w:rsidRPr="00E056AE">
        <w:rPr>
          <w:rFonts w:cstheme="minorHAnsi"/>
          <w:szCs w:val="22"/>
        </w:rPr>
        <w:t>t</w:t>
      </w:r>
      <w:r w:rsidRPr="00E056AE">
        <w:rPr>
          <w:rFonts w:cstheme="minorHAnsi"/>
          <w:szCs w:val="22"/>
        </w:rPr>
        <w:t>uberculosis (TB)</w:t>
      </w:r>
      <w:r w:rsidR="002D6E01" w:rsidRPr="00E056AE">
        <w:rPr>
          <w:rFonts w:cstheme="minorHAnsi"/>
          <w:szCs w:val="22"/>
        </w:rPr>
        <w:t xml:space="preserve"> at NHS services</w:t>
      </w:r>
      <w:r w:rsidR="000A1827" w:rsidRPr="00E056AE">
        <w:rPr>
          <w:rFonts w:cstheme="minorHAnsi"/>
          <w:szCs w:val="22"/>
        </w:rPr>
        <w:t>.</w:t>
      </w:r>
    </w:p>
    <w:p w14:paraId="26BA87A4"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E056AE">
        <w:rPr>
          <w:rFonts w:cstheme="minorHAnsi"/>
          <w:b/>
          <w:szCs w:val="22"/>
        </w:rPr>
        <w:t>SHORT STUDY TITLE / ACRONYM</w:t>
      </w:r>
    </w:p>
    <w:p w14:paraId="70FEF7FA" w14:textId="4BEA4D71" w:rsidR="004056C9" w:rsidRPr="00E056AE" w:rsidRDefault="004056C9" w:rsidP="00187A6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Analysing experiences of Tuberculosis care</w:t>
      </w:r>
    </w:p>
    <w:p w14:paraId="62588808"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3EF1905D"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E056AE">
        <w:rPr>
          <w:rFonts w:cstheme="minorHAnsi"/>
          <w:b/>
          <w:szCs w:val="22"/>
        </w:rPr>
        <w:t>PROTOCOL VERSION NUMBER AND DATE</w:t>
      </w:r>
    </w:p>
    <w:p w14:paraId="543C08D7" w14:textId="4154B3D0" w:rsidR="00667194" w:rsidRPr="00E056AE" w:rsidRDefault="006671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Version </w:t>
      </w:r>
      <w:r w:rsidR="0012129D" w:rsidRPr="00E056AE">
        <w:rPr>
          <w:rFonts w:cstheme="minorHAnsi"/>
          <w:szCs w:val="22"/>
        </w:rPr>
        <w:t xml:space="preserve">  0.</w:t>
      </w:r>
      <w:r w:rsidR="00817347" w:rsidRPr="00E056AE">
        <w:rPr>
          <w:rFonts w:cstheme="minorHAnsi"/>
          <w:szCs w:val="22"/>
        </w:rPr>
        <w:t>6</w:t>
      </w:r>
    </w:p>
    <w:p w14:paraId="2A2CEB39" w14:textId="093B5D17" w:rsidR="00B65A63" w:rsidRPr="00E056AE" w:rsidRDefault="00817347"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1</w:t>
      </w:r>
      <w:r w:rsidR="00636129" w:rsidRPr="00E056AE">
        <w:rPr>
          <w:rFonts w:cstheme="minorHAnsi"/>
          <w:szCs w:val="22"/>
        </w:rPr>
        <w:t>9</w:t>
      </w:r>
      <w:r w:rsidRPr="00E056AE">
        <w:rPr>
          <w:rFonts w:cstheme="minorHAnsi"/>
          <w:szCs w:val="22"/>
        </w:rPr>
        <w:t>/08/20</w:t>
      </w:r>
    </w:p>
    <w:p w14:paraId="37F900C2" w14:textId="77777777" w:rsidR="00B65A63" w:rsidRPr="00E056AE" w:rsidRDefault="00B65A63"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0EF019F7" w14:textId="5028856E" w:rsidR="00475FDA" w:rsidRPr="00E056AE" w:rsidRDefault="00475FDA" w:rsidP="00EB3796">
      <w:pPr>
        <w:spacing w:line="240" w:lineRule="auto"/>
        <w:rPr>
          <w:rFonts w:cstheme="minorHAnsi"/>
          <w:b/>
          <w:szCs w:val="22"/>
        </w:rPr>
      </w:pPr>
      <w:r w:rsidRPr="00E056AE">
        <w:rPr>
          <w:rFonts w:cstheme="minorHAnsi"/>
          <w:b/>
          <w:szCs w:val="22"/>
        </w:rPr>
        <w:t>RESEARCH REFERENCE NUMBERS</w:t>
      </w:r>
    </w:p>
    <w:p w14:paraId="03F30026" w14:textId="77777777" w:rsidR="00475FDA" w:rsidRPr="00E056AE"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E056AE" w14:paraId="1BEC92CA" w14:textId="77777777" w:rsidTr="00475FDA">
        <w:tc>
          <w:tcPr>
            <w:tcW w:w="3708" w:type="dxa"/>
          </w:tcPr>
          <w:p w14:paraId="1C597578" w14:textId="77777777" w:rsidR="00475FDA" w:rsidRPr="00E056AE" w:rsidRDefault="00475FDA" w:rsidP="003802A1">
            <w:pPr>
              <w:spacing w:line="240" w:lineRule="auto"/>
              <w:rPr>
                <w:rFonts w:cstheme="minorHAnsi"/>
                <w:b/>
                <w:szCs w:val="22"/>
              </w:rPr>
            </w:pPr>
            <w:r w:rsidRPr="00E056AE">
              <w:rPr>
                <w:rFonts w:cstheme="minorHAnsi"/>
                <w:b/>
                <w:szCs w:val="22"/>
              </w:rPr>
              <w:t>IRAS Number:</w:t>
            </w:r>
          </w:p>
        </w:tc>
        <w:tc>
          <w:tcPr>
            <w:tcW w:w="5894" w:type="dxa"/>
          </w:tcPr>
          <w:p w14:paraId="4F5A273A" w14:textId="56497A7F" w:rsidR="00475FDA" w:rsidRPr="00E056AE" w:rsidRDefault="00C10B7A" w:rsidP="003802A1">
            <w:pPr>
              <w:spacing w:line="240" w:lineRule="auto"/>
              <w:rPr>
                <w:rFonts w:cstheme="minorHAnsi"/>
                <w:szCs w:val="22"/>
              </w:rPr>
            </w:pPr>
            <w:r w:rsidRPr="00E056AE">
              <w:rPr>
                <w:rFonts w:cstheme="minorHAnsi"/>
                <w:szCs w:val="22"/>
              </w:rPr>
              <w:t>260105</w:t>
            </w:r>
          </w:p>
          <w:p w14:paraId="2EFC30E5" w14:textId="77777777" w:rsidR="0003364E" w:rsidRPr="00E056AE" w:rsidDel="00702805" w:rsidRDefault="0003364E" w:rsidP="003802A1">
            <w:pPr>
              <w:spacing w:line="240" w:lineRule="auto"/>
              <w:rPr>
                <w:rFonts w:cstheme="minorHAnsi"/>
                <w:color w:val="0000FF"/>
                <w:szCs w:val="22"/>
              </w:rPr>
            </w:pPr>
          </w:p>
        </w:tc>
      </w:tr>
      <w:tr w:rsidR="00475FDA" w:rsidRPr="00E056AE" w14:paraId="62CFD176" w14:textId="77777777" w:rsidTr="00475FDA">
        <w:tc>
          <w:tcPr>
            <w:tcW w:w="3708" w:type="dxa"/>
          </w:tcPr>
          <w:p w14:paraId="08ECB36B" w14:textId="77777777" w:rsidR="00475FDA" w:rsidRPr="00E056AE" w:rsidRDefault="00475FDA" w:rsidP="003802A1">
            <w:pPr>
              <w:spacing w:line="240" w:lineRule="auto"/>
              <w:rPr>
                <w:rFonts w:cstheme="minorHAnsi"/>
                <w:b/>
                <w:szCs w:val="22"/>
              </w:rPr>
            </w:pPr>
            <w:r w:rsidRPr="00E056AE">
              <w:rPr>
                <w:rFonts w:cstheme="minorHAnsi"/>
                <w:b/>
                <w:szCs w:val="22"/>
              </w:rPr>
              <w:t>SPONSORS Number:</w:t>
            </w:r>
          </w:p>
        </w:tc>
        <w:tc>
          <w:tcPr>
            <w:tcW w:w="5894" w:type="dxa"/>
          </w:tcPr>
          <w:p w14:paraId="06C586C4" w14:textId="3B7AD96E" w:rsidR="00475FDA" w:rsidRPr="00E056AE" w:rsidRDefault="004551EA" w:rsidP="003802A1">
            <w:pPr>
              <w:pStyle w:val="Default"/>
              <w:spacing w:after="120"/>
              <w:rPr>
                <w:rFonts w:asciiTheme="minorHAnsi" w:hAnsiTheme="minorHAnsi" w:cstheme="minorHAnsi"/>
                <w:color w:val="0000FF"/>
                <w:sz w:val="22"/>
                <w:szCs w:val="22"/>
              </w:rPr>
            </w:pPr>
            <w:r w:rsidRPr="00E056AE">
              <w:rPr>
                <w:color w:val="1F497D"/>
                <w:shd w:val="clear" w:color="auto" w:fill="FFFFFF"/>
              </w:rPr>
              <w:t>2019.0056</w:t>
            </w:r>
          </w:p>
        </w:tc>
      </w:tr>
      <w:tr w:rsidR="00475FDA" w:rsidRPr="00E056AE" w14:paraId="6BF31168" w14:textId="77777777" w:rsidTr="00475FDA">
        <w:tc>
          <w:tcPr>
            <w:tcW w:w="3708" w:type="dxa"/>
          </w:tcPr>
          <w:p w14:paraId="59A387EA" w14:textId="77777777" w:rsidR="00475FDA" w:rsidRPr="00E056AE" w:rsidRDefault="00475FDA" w:rsidP="003802A1">
            <w:pPr>
              <w:spacing w:line="240" w:lineRule="auto"/>
              <w:rPr>
                <w:rFonts w:cstheme="minorHAnsi"/>
                <w:b/>
                <w:szCs w:val="22"/>
              </w:rPr>
            </w:pPr>
            <w:r w:rsidRPr="00E056AE">
              <w:rPr>
                <w:rFonts w:cstheme="minorHAnsi"/>
                <w:b/>
                <w:szCs w:val="22"/>
              </w:rPr>
              <w:t>FUNDERS Number:</w:t>
            </w:r>
          </w:p>
        </w:tc>
        <w:tc>
          <w:tcPr>
            <w:tcW w:w="5894" w:type="dxa"/>
          </w:tcPr>
          <w:p w14:paraId="6CF41C6A" w14:textId="786E3DC9" w:rsidR="00475FDA" w:rsidRPr="00E056AE" w:rsidRDefault="00FC7D33" w:rsidP="004551EA">
            <w:pPr>
              <w:pStyle w:val="Default"/>
              <w:spacing w:after="120"/>
              <w:rPr>
                <w:rFonts w:asciiTheme="minorHAnsi" w:hAnsiTheme="minorHAnsi" w:cstheme="minorHAnsi"/>
                <w:color w:val="0000FF"/>
                <w:sz w:val="22"/>
                <w:szCs w:val="22"/>
              </w:rPr>
            </w:pPr>
            <w:r w:rsidRPr="00E056AE">
              <w:rPr>
                <w:sz w:val="27"/>
                <w:szCs w:val="27"/>
              </w:rPr>
              <w:t>M775</w:t>
            </w:r>
          </w:p>
        </w:tc>
      </w:tr>
    </w:tbl>
    <w:p w14:paraId="66EFA935"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E056AE">
        <w:rPr>
          <w:rFonts w:cstheme="minorHAnsi"/>
          <w:color w:val="0000FF"/>
          <w:szCs w:val="22"/>
        </w:rPr>
        <w:br w:type="page"/>
      </w:r>
    </w:p>
    <w:p w14:paraId="133B3BC9" w14:textId="77777777" w:rsidR="00475FDA" w:rsidRPr="00E056AE" w:rsidRDefault="00475FDA" w:rsidP="003802A1">
      <w:pPr>
        <w:pStyle w:val="Heading1"/>
        <w:spacing w:before="0" w:after="120"/>
        <w:rPr>
          <w:rFonts w:asciiTheme="minorHAnsi" w:eastAsiaTheme="minorEastAsia" w:hAnsiTheme="minorHAnsi" w:cstheme="minorHAnsi"/>
          <w:bCs w:val="0"/>
          <w:color w:val="auto"/>
        </w:rPr>
      </w:pPr>
      <w:r w:rsidRPr="00E056AE">
        <w:rPr>
          <w:rFonts w:asciiTheme="minorHAnsi" w:eastAsiaTheme="minorEastAsia" w:hAnsiTheme="minorHAnsi" w:cstheme="minorHAnsi"/>
          <w:bCs w:val="0"/>
          <w:color w:val="auto"/>
          <w:sz w:val="22"/>
          <w:szCs w:val="22"/>
        </w:rPr>
        <w:lastRenderedPageBreak/>
        <w:t>SIGNATURE PAGE</w:t>
      </w:r>
    </w:p>
    <w:p w14:paraId="6359B5D0" w14:textId="15BFC0A0"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The undersigned confirm that the following protocol has been agreed and accepted and that the Chief Investigator agrees to conduct the </w:t>
      </w:r>
      <w:r w:rsidR="000A4DA5" w:rsidRPr="00E056AE">
        <w:rPr>
          <w:rFonts w:cstheme="minorHAnsi"/>
          <w:szCs w:val="22"/>
        </w:rPr>
        <w:t xml:space="preserve">study </w:t>
      </w:r>
      <w:r w:rsidRPr="00E056AE">
        <w:rPr>
          <w:rFonts w:cstheme="minorHAnsi"/>
          <w:szCs w:val="22"/>
        </w:rPr>
        <w:t xml:space="preserve">in compliance with the approved protocol and will adhere to the principles outlined in the </w:t>
      </w:r>
      <w:r w:rsidR="0003364E" w:rsidRPr="00E056AE">
        <w:rPr>
          <w:rFonts w:cstheme="minorHAnsi"/>
          <w:szCs w:val="22"/>
        </w:rPr>
        <w:t>Declaration of Helsinki</w:t>
      </w:r>
      <w:r w:rsidRPr="00E056AE">
        <w:rPr>
          <w:rFonts w:cstheme="minorHAnsi"/>
          <w:szCs w:val="22"/>
        </w:rPr>
        <w:t>, the Sponsor’s SOPs, a</w:t>
      </w:r>
      <w:r w:rsidR="0003364E" w:rsidRPr="00E056AE">
        <w:rPr>
          <w:rFonts w:cstheme="minorHAnsi"/>
          <w:szCs w:val="22"/>
        </w:rPr>
        <w:t>nd other regulatory requirement</w:t>
      </w:r>
      <w:r w:rsidRPr="00E056AE">
        <w:rPr>
          <w:rFonts w:cstheme="minorHAnsi"/>
          <w:szCs w:val="22"/>
        </w:rPr>
        <w:t>.</w:t>
      </w:r>
    </w:p>
    <w:p w14:paraId="71D06904" w14:textId="1CD309E4"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I agree to ensure that the confidential information contained in this document will not be used for any other purpose other than </w:t>
      </w:r>
      <w:r w:rsidR="0003364E" w:rsidRPr="00E056AE">
        <w:rPr>
          <w:rFonts w:cstheme="minorHAnsi"/>
          <w:szCs w:val="22"/>
        </w:rPr>
        <w:t>the evaluation or conduct of the</w:t>
      </w:r>
      <w:r w:rsidRPr="00E056AE">
        <w:rPr>
          <w:rFonts w:cstheme="minorHAnsi"/>
          <w:szCs w:val="22"/>
        </w:rPr>
        <w:t xml:space="preserve"> investigation without the prior written consent of the Sponsor</w:t>
      </w:r>
    </w:p>
    <w:p w14:paraId="155CB861" w14:textId="796058AA"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I also confirm that I will make the findings of the study </w:t>
      </w:r>
      <w:r w:rsidR="00566220" w:rsidRPr="00E056AE">
        <w:rPr>
          <w:rFonts w:cstheme="minorHAnsi"/>
          <w:szCs w:val="22"/>
        </w:rPr>
        <w:t>publicly</w:t>
      </w:r>
      <w:r w:rsidRPr="00E056AE">
        <w:rPr>
          <w:rFonts w:cstheme="minorHAnsi"/>
          <w:szCs w:val="22"/>
        </w:rPr>
        <w:t xml:space="preserve">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E056AE" w14:paraId="61CB8727" w14:textId="77777777" w:rsidTr="003C12DB">
        <w:tc>
          <w:tcPr>
            <w:tcW w:w="9468" w:type="dxa"/>
            <w:gridSpan w:val="3"/>
          </w:tcPr>
          <w:p w14:paraId="510FAF79" w14:textId="29404CA3"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E056AE">
              <w:rPr>
                <w:rFonts w:cstheme="minorHAnsi"/>
                <w:b/>
                <w:szCs w:val="22"/>
              </w:rPr>
              <w:t>For and on behalf of the Study Sponsor:</w:t>
            </w:r>
          </w:p>
        </w:tc>
      </w:tr>
      <w:tr w:rsidR="003C12DB" w:rsidRPr="00E056AE" w14:paraId="2ACD87A4" w14:textId="77777777" w:rsidTr="00475FDA">
        <w:tc>
          <w:tcPr>
            <w:tcW w:w="6487" w:type="dxa"/>
          </w:tcPr>
          <w:p w14:paraId="5F381893"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 xml:space="preserve">Signature: </w:t>
            </w:r>
          </w:p>
          <w:p w14:paraId="0AB44543" w14:textId="3E24C899"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w:t>
            </w:r>
          </w:p>
        </w:tc>
        <w:tc>
          <w:tcPr>
            <w:tcW w:w="1134" w:type="dxa"/>
          </w:tcPr>
          <w:p w14:paraId="40D1C573"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Date: ....../....../......</w:t>
            </w:r>
          </w:p>
        </w:tc>
      </w:tr>
      <w:tr w:rsidR="003C12DB" w:rsidRPr="00E056AE" w14:paraId="659C0F25" w14:textId="77777777" w:rsidTr="00475FDA">
        <w:tc>
          <w:tcPr>
            <w:tcW w:w="6487" w:type="dxa"/>
          </w:tcPr>
          <w:p w14:paraId="6F92C5CD"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Name (please print):</w:t>
            </w:r>
          </w:p>
          <w:p w14:paraId="7D3A1632" w14:textId="49D6F368"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w:t>
            </w:r>
          </w:p>
        </w:tc>
        <w:tc>
          <w:tcPr>
            <w:tcW w:w="1134" w:type="dxa"/>
          </w:tcPr>
          <w:p w14:paraId="387270E7"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E056AE" w14:paraId="06C37570" w14:textId="77777777" w:rsidTr="00475FDA">
        <w:tc>
          <w:tcPr>
            <w:tcW w:w="6487" w:type="dxa"/>
          </w:tcPr>
          <w:p w14:paraId="610D9263" w14:textId="6A736C22"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Position: ......................................................................................................</w:t>
            </w:r>
          </w:p>
        </w:tc>
        <w:tc>
          <w:tcPr>
            <w:tcW w:w="1134" w:type="dxa"/>
          </w:tcPr>
          <w:p w14:paraId="60B5D214"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E056AE" w14:paraId="754B4579" w14:textId="77777777" w:rsidTr="00475FDA">
        <w:tc>
          <w:tcPr>
            <w:tcW w:w="9468" w:type="dxa"/>
            <w:gridSpan w:val="3"/>
          </w:tcPr>
          <w:p w14:paraId="4205D864" w14:textId="0F7384FF"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E056AE">
              <w:rPr>
                <w:rFonts w:cstheme="minorHAnsi"/>
                <w:b/>
                <w:szCs w:val="22"/>
              </w:rPr>
              <w:t>Chief Investigator:</w:t>
            </w:r>
          </w:p>
        </w:tc>
      </w:tr>
      <w:tr w:rsidR="003C12DB" w:rsidRPr="00E056AE" w14:paraId="05F73613" w14:textId="77777777" w:rsidTr="00475FDA">
        <w:tc>
          <w:tcPr>
            <w:tcW w:w="6487" w:type="dxa"/>
          </w:tcPr>
          <w:p w14:paraId="37D7B078" w14:textId="7AAFD628"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Signature: ......................................................................................................</w:t>
            </w:r>
          </w:p>
        </w:tc>
        <w:tc>
          <w:tcPr>
            <w:tcW w:w="1134" w:type="dxa"/>
          </w:tcPr>
          <w:p w14:paraId="6899C2A9"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Date: ....../....../......</w:t>
            </w:r>
          </w:p>
        </w:tc>
      </w:tr>
      <w:tr w:rsidR="003C12DB" w:rsidRPr="00E056AE" w14:paraId="0B18011F" w14:textId="77777777" w:rsidTr="00475FDA">
        <w:tc>
          <w:tcPr>
            <w:tcW w:w="6487" w:type="dxa"/>
          </w:tcPr>
          <w:p w14:paraId="46B7C679" w14:textId="77777777" w:rsidR="003C12DB" w:rsidRPr="00E056AE"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Name: (please print):</w:t>
            </w:r>
          </w:p>
          <w:p w14:paraId="0A5F9562" w14:textId="2A05B038" w:rsidR="003C12DB" w:rsidRPr="00E056AE"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w:t>
            </w:r>
            <w:r w:rsidRPr="00E056AE">
              <w:rPr>
                <w:rFonts w:cstheme="minorHAnsi"/>
                <w:szCs w:val="22"/>
              </w:rPr>
              <w:tab/>
            </w:r>
          </w:p>
        </w:tc>
        <w:tc>
          <w:tcPr>
            <w:tcW w:w="1134" w:type="dxa"/>
          </w:tcPr>
          <w:p w14:paraId="0FF27A1D"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E056AE"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Pr="00E056AE" w:rsidRDefault="00093582" w:rsidP="003802A1">
      <w:pPr>
        <w:pStyle w:val="Heading1"/>
        <w:spacing w:before="0" w:after="120"/>
        <w:rPr>
          <w:rFonts w:asciiTheme="minorHAnsi" w:hAnsiTheme="minorHAnsi" w:cstheme="minorHAnsi"/>
          <w:sz w:val="22"/>
          <w:szCs w:val="22"/>
        </w:rPr>
      </w:pPr>
      <w:bookmarkStart w:id="0" w:name="_Toc354567215"/>
    </w:p>
    <w:p w14:paraId="59CBD00E" w14:textId="77777777" w:rsidR="005A725E" w:rsidRPr="00E056A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Pr="00E056A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Pr="00E056A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Pr="00E056A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Pr="00E056A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Pr="00E056AE" w:rsidRDefault="005A725E" w:rsidP="005A725E">
      <w:pPr>
        <w:rPr>
          <w:rFonts w:cstheme="minorHAnsi"/>
        </w:rPr>
      </w:pPr>
    </w:p>
    <w:p w14:paraId="4BF51B2B" w14:textId="77777777" w:rsidR="00580154" w:rsidRPr="00E056AE" w:rsidRDefault="00580154" w:rsidP="005A725E">
      <w:pPr>
        <w:rPr>
          <w:rFonts w:cstheme="minorHAnsi"/>
        </w:rPr>
      </w:pPr>
    </w:p>
    <w:p w14:paraId="7DE72104" w14:textId="77777777" w:rsidR="005A725E" w:rsidRPr="00E056AE" w:rsidRDefault="005A725E" w:rsidP="005A725E">
      <w:pPr>
        <w:rPr>
          <w:rFonts w:cstheme="minorHAnsi"/>
        </w:rPr>
      </w:pPr>
    </w:p>
    <w:p w14:paraId="26EA90BD" w14:textId="77777777" w:rsidR="005A725E" w:rsidRPr="00E056AE" w:rsidRDefault="005A725E" w:rsidP="005A725E">
      <w:pPr>
        <w:rPr>
          <w:rFonts w:cstheme="minorHAnsi"/>
        </w:rPr>
      </w:pPr>
    </w:p>
    <w:p w14:paraId="0FBF66EC" w14:textId="77777777" w:rsidR="005A725E" w:rsidRPr="00E056AE" w:rsidRDefault="005A725E" w:rsidP="005A725E">
      <w:pPr>
        <w:rPr>
          <w:rFonts w:cstheme="minorHAnsi"/>
        </w:rPr>
      </w:pPr>
    </w:p>
    <w:p w14:paraId="2AEA1C6A" w14:textId="77777777" w:rsidR="00EB3796" w:rsidRPr="00E056AE" w:rsidRDefault="00EB3796" w:rsidP="00EB3796">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EB3796" w:rsidRPr="00E056AE" w14:paraId="1957E3E0" w14:textId="77777777" w:rsidTr="004140B8">
        <w:tc>
          <w:tcPr>
            <w:tcW w:w="9128" w:type="dxa"/>
            <w:vAlign w:val="center"/>
          </w:tcPr>
          <w:p w14:paraId="7250E712" w14:textId="77777777" w:rsidR="00EB3796" w:rsidRPr="00E056AE" w:rsidRDefault="00EB3796" w:rsidP="004140B8">
            <w:pPr>
              <w:spacing w:before="60" w:after="60" w:line="240" w:lineRule="auto"/>
              <w:rPr>
                <w:rFonts w:cstheme="minorHAnsi"/>
                <w:b/>
                <w:szCs w:val="22"/>
              </w:rPr>
            </w:pPr>
            <w:r w:rsidRPr="00E056AE">
              <w:rPr>
                <w:rFonts w:cstheme="minorHAnsi"/>
                <w:b/>
                <w:szCs w:val="22"/>
              </w:rPr>
              <w:t>GENERAL INFORMATION</w:t>
            </w:r>
          </w:p>
        </w:tc>
        <w:tc>
          <w:tcPr>
            <w:tcW w:w="1291" w:type="dxa"/>
            <w:vAlign w:val="center"/>
          </w:tcPr>
          <w:p w14:paraId="24BD9DB5" w14:textId="77777777" w:rsidR="00EB3796" w:rsidRPr="00E056AE" w:rsidRDefault="00EB3796" w:rsidP="004140B8">
            <w:pPr>
              <w:spacing w:before="60" w:after="60" w:line="240" w:lineRule="auto"/>
              <w:rPr>
                <w:rFonts w:cstheme="minorHAnsi"/>
                <w:b/>
                <w:szCs w:val="22"/>
              </w:rPr>
            </w:pPr>
            <w:r w:rsidRPr="00E056AE">
              <w:rPr>
                <w:rFonts w:cstheme="minorHAnsi"/>
                <w:b/>
                <w:szCs w:val="22"/>
              </w:rPr>
              <w:t>Page No.</w:t>
            </w:r>
          </w:p>
        </w:tc>
      </w:tr>
      <w:tr w:rsidR="004F0D9E" w:rsidRPr="00E056AE" w14:paraId="095D3477" w14:textId="77777777" w:rsidTr="004140B8">
        <w:tc>
          <w:tcPr>
            <w:tcW w:w="9128" w:type="dxa"/>
            <w:vAlign w:val="center"/>
          </w:tcPr>
          <w:p w14:paraId="09FB4476" w14:textId="64FF30AF" w:rsidR="004F0D9E" w:rsidRPr="00E056AE" w:rsidRDefault="004F0D9E" w:rsidP="004140B8">
            <w:pPr>
              <w:spacing w:before="60" w:after="60" w:line="240" w:lineRule="auto"/>
              <w:rPr>
                <w:rFonts w:cstheme="minorHAnsi"/>
                <w:szCs w:val="22"/>
              </w:rPr>
            </w:pPr>
            <w:r w:rsidRPr="00E056AE">
              <w:rPr>
                <w:rFonts w:cstheme="minorHAnsi"/>
                <w:szCs w:val="22"/>
              </w:rPr>
              <w:t xml:space="preserve">HRA PROTOCOL COMPLIANCE DECLARATION </w:t>
            </w:r>
          </w:p>
        </w:tc>
        <w:tc>
          <w:tcPr>
            <w:tcW w:w="1291" w:type="dxa"/>
            <w:vAlign w:val="center"/>
          </w:tcPr>
          <w:p w14:paraId="077E0A49" w14:textId="2CFB9DB7" w:rsidR="004F0D9E" w:rsidRPr="00E056AE" w:rsidRDefault="004F0D9E" w:rsidP="004140B8">
            <w:pPr>
              <w:spacing w:before="60" w:after="60" w:line="240" w:lineRule="auto"/>
              <w:rPr>
                <w:rFonts w:cstheme="minorHAnsi"/>
                <w:szCs w:val="22"/>
              </w:rPr>
            </w:pPr>
            <w:r w:rsidRPr="00E056AE">
              <w:rPr>
                <w:rFonts w:cstheme="minorHAnsi"/>
                <w:szCs w:val="22"/>
              </w:rPr>
              <w:t>i</w:t>
            </w:r>
          </w:p>
        </w:tc>
      </w:tr>
      <w:tr w:rsidR="00EB3796" w:rsidRPr="00E056AE" w14:paraId="11FB9570" w14:textId="77777777" w:rsidTr="004140B8">
        <w:tc>
          <w:tcPr>
            <w:tcW w:w="9128" w:type="dxa"/>
            <w:vAlign w:val="center"/>
          </w:tcPr>
          <w:p w14:paraId="5BCDC7EA" w14:textId="77777777" w:rsidR="00EB3796" w:rsidRPr="00E056AE" w:rsidRDefault="00EB3796" w:rsidP="004140B8">
            <w:pPr>
              <w:spacing w:before="60" w:after="60" w:line="240" w:lineRule="auto"/>
              <w:rPr>
                <w:rFonts w:cstheme="minorHAnsi"/>
                <w:szCs w:val="22"/>
              </w:rPr>
            </w:pPr>
            <w:r w:rsidRPr="00E056AE">
              <w:rPr>
                <w:rFonts w:cstheme="minorHAnsi"/>
                <w:szCs w:val="22"/>
              </w:rPr>
              <w:t>TITLE PAGE</w:t>
            </w:r>
            <w:r w:rsidRPr="00E056AE">
              <w:rPr>
                <w:rFonts w:cstheme="minorHAnsi"/>
                <w:szCs w:val="22"/>
              </w:rPr>
              <w:tab/>
            </w:r>
          </w:p>
        </w:tc>
        <w:tc>
          <w:tcPr>
            <w:tcW w:w="1291" w:type="dxa"/>
            <w:vAlign w:val="center"/>
          </w:tcPr>
          <w:p w14:paraId="007B370D" w14:textId="18AC3F0C" w:rsidR="00EB3796" w:rsidRPr="00E056AE" w:rsidRDefault="00B673F2" w:rsidP="004140B8">
            <w:pPr>
              <w:spacing w:before="60" w:after="60" w:line="240" w:lineRule="auto"/>
              <w:rPr>
                <w:rFonts w:cstheme="minorHAnsi"/>
                <w:szCs w:val="22"/>
              </w:rPr>
            </w:pPr>
            <w:r w:rsidRPr="00E056AE">
              <w:rPr>
                <w:rFonts w:cstheme="minorHAnsi"/>
                <w:szCs w:val="22"/>
              </w:rPr>
              <w:t>ii</w:t>
            </w:r>
          </w:p>
        </w:tc>
      </w:tr>
      <w:tr w:rsidR="00EB3796" w:rsidRPr="00E056AE" w14:paraId="02FC45F4" w14:textId="77777777" w:rsidTr="004140B8">
        <w:tc>
          <w:tcPr>
            <w:tcW w:w="9128" w:type="dxa"/>
            <w:vAlign w:val="center"/>
          </w:tcPr>
          <w:p w14:paraId="7BA0A780" w14:textId="77777777" w:rsidR="00EB3796" w:rsidRPr="00E056AE" w:rsidRDefault="00EB3796" w:rsidP="004140B8">
            <w:pPr>
              <w:spacing w:before="60" w:after="60" w:line="240" w:lineRule="auto"/>
              <w:rPr>
                <w:rFonts w:cstheme="minorHAnsi"/>
                <w:szCs w:val="22"/>
              </w:rPr>
            </w:pPr>
            <w:r w:rsidRPr="00E056AE">
              <w:rPr>
                <w:rFonts w:cstheme="minorHAnsi"/>
                <w:szCs w:val="22"/>
              </w:rPr>
              <w:t>RESEARCH REFERENCE NUMBERS</w:t>
            </w:r>
            <w:r w:rsidRPr="00E056AE">
              <w:rPr>
                <w:rFonts w:cstheme="minorHAnsi"/>
                <w:szCs w:val="22"/>
              </w:rPr>
              <w:tab/>
            </w:r>
          </w:p>
        </w:tc>
        <w:tc>
          <w:tcPr>
            <w:tcW w:w="1291" w:type="dxa"/>
            <w:vAlign w:val="center"/>
          </w:tcPr>
          <w:p w14:paraId="5D46DF95" w14:textId="6A354530" w:rsidR="00EB3796" w:rsidRPr="00E056AE" w:rsidRDefault="00B673F2" w:rsidP="004140B8">
            <w:pPr>
              <w:spacing w:before="60" w:after="60" w:line="240" w:lineRule="auto"/>
              <w:rPr>
                <w:rFonts w:cstheme="minorHAnsi"/>
                <w:szCs w:val="22"/>
              </w:rPr>
            </w:pPr>
            <w:r w:rsidRPr="00E056AE">
              <w:rPr>
                <w:rFonts w:cstheme="minorHAnsi"/>
                <w:szCs w:val="22"/>
              </w:rPr>
              <w:t>ii</w:t>
            </w:r>
          </w:p>
        </w:tc>
      </w:tr>
      <w:tr w:rsidR="00EB3796" w:rsidRPr="00E056AE" w14:paraId="033BC03A" w14:textId="77777777" w:rsidTr="004140B8">
        <w:tc>
          <w:tcPr>
            <w:tcW w:w="9128" w:type="dxa"/>
            <w:vAlign w:val="center"/>
          </w:tcPr>
          <w:p w14:paraId="2314478E" w14:textId="77777777" w:rsidR="00EB3796" w:rsidRPr="00E056AE" w:rsidRDefault="00EB3796" w:rsidP="004140B8">
            <w:pPr>
              <w:spacing w:before="60" w:after="60" w:line="240" w:lineRule="auto"/>
              <w:rPr>
                <w:rFonts w:cstheme="minorHAnsi"/>
                <w:szCs w:val="22"/>
              </w:rPr>
            </w:pPr>
            <w:r w:rsidRPr="00E056AE">
              <w:rPr>
                <w:rFonts w:cstheme="minorHAnsi"/>
                <w:szCs w:val="22"/>
              </w:rPr>
              <w:t>SIGNATURE PAGE</w:t>
            </w:r>
          </w:p>
        </w:tc>
        <w:tc>
          <w:tcPr>
            <w:tcW w:w="1291" w:type="dxa"/>
            <w:vAlign w:val="center"/>
          </w:tcPr>
          <w:p w14:paraId="5C09E8FB" w14:textId="0A914068" w:rsidR="00EB3796" w:rsidRPr="00E056AE" w:rsidRDefault="00B673F2" w:rsidP="004140B8">
            <w:pPr>
              <w:spacing w:before="60" w:after="60" w:line="240" w:lineRule="auto"/>
              <w:rPr>
                <w:rFonts w:cstheme="minorHAnsi"/>
                <w:szCs w:val="22"/>
              </w:rPr>
            </w:pPr>
            <w:r w:rsidRPr="00E056AE">
              <w:rPr>
                <w:rFonts w:cstheme="minorHAnsi"/>
                <w:szCs w:val="22"/>
              </w:rPr>
              <w:t>iii</w:t>
            </w:r>
          </w:p>
        </w:tc>
      </w:tr>
      <w:tr w:rsidR="00EB3796" w:rsidRPr="00E056AE" w14:paraId="024BC0F8" w14:textId="77777777" w:rsidTr="004140B8">
        <w:tc>
          <w:tcPr>
            <w:tcW w:w="9128" w:type="dxa"/>
            <w:vAlign w:val="center"/>
          </w:tcPr>
          <w:p w14:paraId="264A18C9" w14:textId="4357E504" w:rsidR="00EB3796" w:rsidRPr="00E056AE" w:rsidRDefault="00B673F2" w:rsidP="004140B8">
            <w:pPr>
              <w:spacing w:before="60" w:after="60" w:line="240" w:lineRule="auto"/>
              <w:rPr>
                <w:rFonts w:cstheme="minorHAnsi"/>
                <w:szCs w:val="22"/>
              </w:rPr>
            </w:pPr>
            <w:r w:rsidRPr="00E056AE">
              <w:rPr>
                <w:rFonts w:cstheme="minorHAnsi"/>
                <w:szCs w:val="22"/>
              </w:rPr>
              <w:t>LIST OF CONTENTS</w:t>
            </w:r>
            <w:r w:rsidRPr="00E056AE">
              <w:rPr>
                <w:rFonts w:cstheme="minorHAnsi"/>
                <w:szCs w:val="22"/>
              </w:rPr>
              <w:tab/>
            </w:r>
          </w:p>
        </w:tc>
        <w:tc>
          <w:tcPr>
            <w:tcW w:w="1291" w:type="dxa"/>
            <w:vAlign w:val="center"/>
          </w:tcPr>
          <w:p w14:paraId="03A594D7" w14:textId="70EA6C4E" w:rsidR="00EB3796" w:rsidRPr="00E056AE" w:rsidRDefault="00B673F2" w:rsidP="004140B8">
            <w:pPr>
              <w:spacing w:before="60" w:after="60" w:line="240" w:lineRule="auto"/>
              <w:rPr>
                <w:rFonts w:cstheme="minorHAnsi"/>
                <w:szCs w:val="22"/>
              </w:rPr>
            </w:pPr>
            <w:r w:rsidRPr="00E056AE">
              <w:rPr>
                <w:rFonts w:cstheme="minorHAnsi"/>
                <w:szCs w:val="22"/>
              </w:rPr>
              <w:t>iv</w:t>
            </w:r>
          </w:p>
        </w:tc>
      </w:tr>
      <w:tr w:rsidR="00B673F2" w:rsidRPr="00E056AE" w14:paraId="1E2C1D3F" w14:textId="77777777" w:rsidTr="004140B8">
        <w:tc>
          <w:tcPr>
            <w:tcW w:w="9128" w:type="dxa"/>
            <w:vAlign w:val="center"/>
          </w:tcPr>
          <w:p w14:paraId="21CC4D6E" w14:textId="73B8EFCE" w:rsidR="00B673F2" w:rsidRPr="00E056AE" w:rsidRDefault="00B673F2" w:rsidP="004140B8">
            <w:pPr>
              <w:spacing w:before="60" w:after="60" w:line="240" w:lineRule="auto"/>
              <w:rPr>
                <w:rFonts w:cstheme="minorHAnsi"/>
                <w:szCs w:val="22"/>
              </w:rPr>
            </w:pPr>
            <w:r w:rsidRPr="00E056AE">
              <w:rPr>
                <w:rFonts w:cstheme="minorHAnsi"/>
                <w:szCs w:val="22"/>
              </w:rPr>
              <w:t>KEY STUDY CONTACTS</w:t>
            </w:r>
          </w:p>
        </w:tc>
        <w:tc>
          <w:tcPr>
            <w:tcW w:w="1291" w:type="dxa"/>
            <w:vAlign w:val="center"/>
          </w:tcPr>
          <w:p w14:paraId="35C33DF1" w14:textId="6C49E724" w:rsidR="00B673F2" w:rsidRPr="00E056AE" w:rsidRDefault="00B673F2" w:rsidP="004140B8">
            <w:pPr>
              <w:spacing w:before="60" w:after="60" w:line="240" w:lineRule="auto"/>
              <w:rPr>
                <w:rFonts w:cstheme="minorHAnsi"/>
                <w:szCs w:val="22"/>
              </w:rPr>
            </w:pPr>
            <w:r w:rsidRPr="00E056AE">
              <w:rPr>
                <w:rFonts w:cstheme="minorHAnsi"/>
                <w:szCs w:val="22"/>
              </w:rPr>
              <w:t>v</w:t>
            </w:r>
          </w:p>
        </w:tc>
      </w:tr>
      <w:tr w:rsidR="00EB3796" w:rsidRPr="00E056AE" w14:paraId="33CBD78E" w14:textId="77777777" w:rsidTr="004140B8">
        <w:tc>
          <w:tcPr>
            <w:tcW w:w="9128" w:type="dxa"/>
            <w:vAlign w:val="center"/>
          </w:tcPr>
          <w:p w14:paraId="2F369ACC" w14:textId="2E60CDC3" w:rsidR="00EB3796" w:rsidRPr="00E056AE" w:rsidRDefault="00B673F2" w:rsidP="004140B8">
            <w:pPr>
              <w:spacing w:before="60" w:after="60" w:line="240" w:lineRule="auto"/>
              <w:rPr>
                <w:rFonts w:cstheme="minorHAnsi"/>
                <w:szCs w:val="22"/>
              </w:rPr>
            </w:pPr>
            <w:r w:rsidRPr="00E056AE">
              <w:rPr>
                <w:rFonts w:cstheme="minorHAnsi"/>
                <w:szCs w:val="22"/>
              </w:rPr>
              <w:t>STUDY SUMMARY</w:t>
            </w:r>
          </w:p>
        </w:tc>
        <w:tc>
          <w:tcPr>
            <w:tcW w:w="1291" w:type="dxa"/>
            <w:vAlign w:val="center"/>
          </w:tcPr>
          <w:p w14:paraId="5CDD607F" w14:textId="0D417AB4" w:rsidR="00EB3796" w:rsidRPr="00E056AE" w:rsidRDefault="00B673F2" w:rsidP="004140B8">
            <w:pPr>
              <w:spacing w:before="60" w:after="60" w:line="240" w:lineRule="auto"/>
              <w:rPr>
                <w:rFonts w:cstheme="minorHAnsi"/>
                <w:szCs w:val="22"/>
              </w:rPr>
            </w:pPr>
            <w:r w:rsidRPr="00E056AE">
              <w:rPr>
                <w:rFonts w:cstheme="minorHAnsi"/>
                <w:szCs w:val="22"/>
              </w:rPr>
              <w:t>v</w:t>
            </w:r>
          </w:p>
        </w:tc>
      </w:tr>
      <w:tr w:rsidR="00EB3796" w:rsidRPr="00E056AE" w14:paraId="579B8FE1" w14:textId="77777777" w:rsidTr="004140B8">
        <w:tc>
          <w:tcPr>
            <w:tcW w:w="9128" w:type="dxa"/>
            <w:vAlign w:val="center"/>
          </w:tcPr>
          <w:p w14:paraId="2E19403F" w14:textId="2A82A30F" w:rsidR="00EB3796" w:rsidRPr="00E056AE" w:rsidRDefault="00B673F2" w:rsidP="004140B8">
            <w:pPr>
              <w:spacing w:before="60" w:after="60" w:line="240" w:lineRule="auto"/>
              <w:rPr>
                <w:rFonts w:cstheme="minorHAnsi"/>
                <w:szCs w:val="22"/>
              </w:rPr>
            </w:pPr>
            <w:r w:rsidRPr="00E056AE">
              <w:rPr>
                <w:rFonts w:cstheme="minorHAnsi"/>
                <w:szCs w:val="22"/>
              </w:rPr>
              <w:t>FUNDING</w:t>
            </w:r>
            <w:r w:rsidR="00EB3796" w:rsidRPr="00E056AE">
              <w:rPr>
                <w:rFonts w:cstheme="minorHAnsi"/>
                <w:szCs w:val="22"/>
              </w:rPr>
              <w:tab/>
            </w:r>
          </w:p>
        </w:tc>
        <w:tc>
          <w:tcPr>
            <w:tcW w:w="1291" w:type="dxa"/>
            <w:vAlign w:val="center"/>
          </w:tcPr>
          <w:p w14:paraId="19C28CAD" w14:textId="251E2B02" w:rsidR="00EB3796" w:rsidRPr="00E056AE" w:rsidRDefault="004F0D9E" w:rsidP="004140B8">
            <w:pPr>
              <w:spacing w:before="60" w:after="60" w:line="240" w:lineRule="auto"/>
              <w:rPr>
                <w:rFonts w:cstheme="minorHAnsi"/>
                <w:szCs w:val="22"/>
              </w:rPr>
            </w:pPr>
            <w:r w:rsidRPr="00E056AE">
              <w:rPr>
                <w:rFonts w:cstheme="minorHAnsi"/>
                <w:szCs w:val="22"/>
              </w:rPr>
              <w:t>vi</w:t>
            </w:r>
          </w:p>
        </w:tc>
      </w:tr>
      <w:tr w:rsidR="00EB3796" w:rsidRPr="00E056AE" w14:paraId="3E8E4625" w14:textId="77777777" w:rsidTr="004140B8">
        <w:tc>
          <w:tcPr>
            <w:tcW w:w="9128" w:type="dxa"/>
            <w:vAlign w:val="center"/>
          </w:tcPr>
          <w:p w14:paraId="05EB8C13" w14:textId="77777777" w:rsidR="00EB3796" w:rsidRPr="00E056AE" w:rsidRDefault="00EB3796" w:rsidP="004140B8">
            <w:pPr>
              <w:spacing w:before="60" w:after="60" w:line="240" w:lineRule="auto"/>
              <w:rPr>
                <w:rFonts w:cstheme="minorHAnsi"/>
                <w:szCs w:val="22"/>
              </w:rPr>
            </w:pPr>
            <w:r w:rsidRPr="00E056AE">
              <w:rPr>
                <w:rFonts w:cstheme="minorHAnsi"/>
                <w:szCs w:val="22"/>
              </w:rPr>
              <w:t>ROLE OF SPONSOR AND FUNDER</w:t>
            </w:r>
          </w:p>
        </w:tc>
        <w:tc>
          <w:tcPr>
            <w:tcW w:w="1291" w:type="dxa"/>
            <w:vAlign w:val="center"/>
          </w:tcPr>
          <w:p w14:paraId="38696681" w14:textId="1164B981" w:rsidR="00EB3796" w:rsidRPr="00E056AE" w:rsidRDefault="004F0D9E" w:rsidP="004140B8">
            <w:pPr>
              <w:spacing w:before="60" w:after="60" w:line="240" w:lineRule="auto"/>
              <w:rPr>
                <w:rFonts w:cstheme="minorHAnsi"/>
                <w:szCs w:val="22"/>
              </w:rPr>
            </w:pPr>
            <w:r w:rsidRPr="00E056AE">
              <w:rPr>
                <w:rFonts w:cstheme="minorHAnsi"/>
                <w:szCs w:val="22"/>
              </w:rPr>
              <w:t>vi</w:t>
            </w:r>
          </w:p>
        </w:tc>
      </w:tr>
      <w:tr w:rsidR="00EB3796" w:rsidRPr="00E056AE" w14:paraId="464C84BD" w14:textId="77777777" w:rsidTr="004140B8">
        <w:tc>
          <w:tcPr>
            <w:tcW w:w="9128" w:type="dxa"/>
            <w:vAlign w:val="center"/>
          </w:tcPr>
          <w:p w14:paraId="7325C6C4" w14:textId="77777777" w:rsidR="00EB3796" w:rsidRPr="00E056AE" w:rsidRDefault="00EB3796" w:rsidP="004140B8">
            <w:pPr>
              <w:spacing w:before="60" w:after="60" w:line="240" w:lineRule="auto"/>
              <w:rPr>
                <w:rFonts w:cstheme="minorHAnsi"/>
                <w:szCs w:val="22"/>
              </w:rPr>
            </w:pPr>
            <w:r w:rsidRPr="00E056AE">
              <w:rPr>
                <w:rFonts w:cstheme="minorHAnsi"/>
                <w:szCs w:val="22"/>
              </w:rPr>
              <w:t xml:space="preserve">ROLES &amp; RESPONSIBILITIES OF STUDY STEERING GROUPS AND INDIVIDUALS </w:t>
            </w:r>
            <w:r w:rsidRPr="00E056AE">
              <w:rPr>
                <w:rFonts w:cstheme="minorHAnsi"/>
                <w:szCs w:val="22"/>
              </w:rPr>
              <w:tab/>
            </w:r>
          </w:p>
        </w:tc>
        <w:tc>
          <w:tcPr>
            <w:tcW w:w="1291" w:type="dxa"/>
            <w:vAlign w:val="center"/>
          </w:tcPr>
          <w:p w14:paraId="0B47386E" w14:textId="45B62053" w:rsidR="00EB3796" w:rsidRPr="00E056AE" w:rsidRDefault="004F0D9E" w:rsidP="004140B8">
            <w:pPr>
              <w:spacing w:before="60" w:after="60" w:line="240" w:lineRule="auto"/>
              <w:rPr>
                <w:rFonts w:cstheme="minorHAnsi"/>
                <w:szCs w:val="22"/>
              </w:rPr>
            </w:pPr>
            <w:r w:rsidRPr="00E056AE">
              <w:rPr>
                <w:rFonts w:cstheme="minorHAnsi"/>
                <w:szCs w:val="22"/>
              </w:rPr>
              <w:t>vi</w:t>
            </w:r>
          </w:p>
        </w:tc>
      </w:tr>
      <w:tr w:rsidR="00EB3796" w:rsidRPr="00E056AE" w14:paraId="6DB185E4" w14:textId="77777777" w:rsidTr="004140B8">
        <w:tc>
          <w:tcPr>
            <w:tcW w:w="9128" w:type="dxa"/>
            <w:vAlign w:val="center"/>
          </w:tcPr>
          <w:p w14:paraId="06AEB352" w14:textId="77777777" w:rsidR="00EB3796" w:rsidRPr="00E056AE" w:rsidRDefault="00EB3796" w:rsidP="004140B8">
            <w:pPr>
              <w:spacing w:before="60" w:after="60" w:line="240" w:lineRule="auto"/>
              <w:rPr>
                <w:rFonts w:cstheme="minorHAnsi"/>
                <w:szCs w:val="22"/>
              </w:rPr>
            </w:pPr>
            <w:r w:rsidRPr="00E056AE">
              <w:rPr>
                <w:rFonts w:cstheme="minorHAnsi"/>
                <w:szCs w:val="22"/>
              </w:rPr>
              <w:t>STUDY FLOW CHART</w:t>
            </w:r>
            <w:r w:rsidRPr="00E056AE">
              <w:rPr>
                <w:rFonts w:cstheme="minorHAnsi"/>
                <w:szCs w:val="22"/>
              </w:rPr>
              <w:tab/>
            </w:r>
          </w:p>
        </w:tc>
        <w:tc>
          <w:tcPr>
            <w:tcW w:w="1291" w:type="dxa"/>
            <w:vAlign w:val="center"/>
          </w:tcPr>
          <w:p w14:paraId="7721FB45" w14:textId="602D522B" w:rsidR="00EB3796" w:rsidRPr="00E056AE" w:rsidRDefault="004F0D9E" w:rsidP="004140B8">
            <w:pPr>
              <w:spacing w:before="60" w:after="60" w:line="240" w:lineRule="auto"/>
              <w:rPr>
                <w:rFonts w:cstheme="minorHAnsi"/>
                <w:szCs w:val="22"/>
              </w:rPr>
            </w:pPr>
            <w:r w:rsidRPr="00E056AE">
              <w:rPr>
                <w:rFonts w:cstheme="minorHAnsi"/>
                <w:szCs w:val="22"/>
              </w:rPr>
              <w:t>vii</w:t>
            </w:r>
          </w:p>
        </w:tc>
      </w:tr>
      <w:tr w:rsidR="00EB3796" w:rsidRPr="00E056AE" w14:paraId="65789869" w14:textId="77777777" w:rsidTr="004140B8">
        <w:tc>
          <w:tcPr>
            <w:tcW w:w="10419" w:type="dxa"/>
            <w:gridSpan w:val="2"/>
            <w:vAlign w:val="center"/>
          </w:tcPr>
          <w:p w14:paraId="4E6A7789" w14:textId="77777777" w:rsidR="00EB3796" w:rsidRPr="00E056AE" w:rsidRDefault="00EB3796" w:rsidP="004140B8">
            <w:pPr>
              <w:spacing w:before="60" w:after="60" w:line="240" w:lineRule="auto"/>
              <w:rPr>
                <w:rFonts w:cstheme="minorHAnsi"/>
                <w:szCs w:val="22"/>
              </w:rPr>
            </w:pPr>
            <w:r w:rsidRPr="00E056AE">
              <w:rPr>
                <w:rFonts w:cstheme="minorHAnsi"/>
                <w:szCs w:val="22"/>
              </w:rPr>
              <w:t xml:space="preserve">SECTION </w:t>
            </w:r>
          </w:p>
        </w:tc>
      </w:tr>
      <w:tr w:rsidR="00EB3796" w:rsidRPr="00E056AE" w14:paraId="37C49F4B" w14:textId="77777777" w:rsidTr="004140B8">
        <w:tc>
          <w:tcPr>
            <w:tcW w:w="9128" w:type="dxa"/>
            <w:vAlign w:val="center"/>
          </w:tcPr>
          <w:p w14:paraId="5E7BE596" w14:textId="77777777" w:rsidR="00EB3796" w:rsidRPr="00E056AE" w:rsidRDefault="00EB3796" w:rsidP="004140B8">
            <w:pPr>
              <w:spacing w:before="60" w:after="60" w:line="240" w:lineRule="auto"/>
              <w:rPr>
                <w:rFonts w:cstheme="minorHAnsi"/>
                <w:szCs w:val="22"/>
              </w:rPr>
            </w:pPr>
            <w:r w:rsidRPr="00E056AE">
              <w:rPr>
                <w:rFonts w:cstheme="minorHAnsi"/>
                <w:szCs w:val="22"/>
              </w:rPr>
              <w:t>1. BACKGROUND</w:t>
            </w:r>
            <w:r w:rsidRPr="00E056AE">
              <w:rPr>
                <w:rFonts w:cstheme="minorHAnsi"/>
                <w:szCs w:val="22"/>
              </w:rPr>
              <w:tab/>
            </w:r>
          </w:p>
        </w:tc>
        <w:tc>
          <w:tcPr>
            <w:tcW w:w="1291" w:type="dxa"/>
            <w:vAlign w:val="center"/>
          </w:tcPr>
          <w:p w14:paraId="5223857B" w14:textId="4BDE3DC9" w:rsidR="00EB3796" w:rsidRPr="00E056AE" w:rsidRDefault="004F0D9E" w:rsidP="004140B8">
            <w:pPr>
              <w:spacing w:before="60" w:after="60" w:line="240" w:lineRule="auto"/>
              <w:rPr>
                <w:rFonts w:cstheme="minorHAnsi"/>
                <w:szCs w:val="22"/>
              </w:rPr>
            </w:pPr>
            <w:r w:rsidRPr="00E056AE">
              <w:rPr>
                <w:rFonts w:cstheme="minorHAnsi"/>
                <w:szCs w:val="22"/>
              </w:rPr>
              <w:t>1</w:t>
            </w:r>
          </w:p>
        </w:tc>
      </w:tr>
      <w:tr w:rsidR="00EB3796" w:rsidRPr="00E056AE" w14:paraId="545B0AD4" w14:textId="77777777" w:rsidTr="004140B8">
        <w:tc>
          <w:tcPr>
            <w:tcW w:w="9128" w:type="dxa"/>
            <w:vAlign w:val="center"/>
          </w:tcPr>
          <w:p w14:paraId="0D1FD166" w14:textId="77777777" w:rsidR="00EB3796" w:rsidRPr="00E056AE" w:rsidRDefault="00EB3796" w:rsidP="004140B8">
            <w:pPr>
              <w:spacing w:before="60" w:after="60" w:line="240" w:lineRule="auto"/>
              <w:rPr>
                <w:rFonts w:cstheme="minorHAnsi"/>
                <w:szCs w:val="22"/>
              </w:rPr>
            </w:pPr>
            <w:r w:rsidRPr="00E056AE">
              <w:rPr>
                <w:rFonts w:cstheme="minorHAnsi"/>
                <w:szCs w:val="22"/>
              </w:rPr>
              <w:t>2. RATIONALE</w:t>
            </w:r>
            <w:r w:rsidRPr="00E056AE">
              <w:rPr>
                <w:rFonts w:cstheme="minorHAnsi"/>
                <w:szCs w:val="22"/>
              </w:rPr>
              <w:tab/>
            </w:r>
          </w:p>
        </w:tc>
        <w:tc>
          <w:tcPr>
            <w:tcW w:w="1291" w:type="dxa"/>
            <w:vAlign w:val="center"/>
          </w:tcPr>
          <w:p w14:paraId="18B0DEAB" w14:textId="77777777" w:rsidR="00EB3796" w:rsidRPr="00E056AE" w:rsidRDefault="00EB3796" w:rsidP="004140B8">
            <w:pPr>
              <w:spacing w:before="60" w:after="60" w:line="240" w:lineRule="auto"/>
              <w:rPr>
                <w:rFonts w:cstheme="minorHAnsi"/>
                <w:szCs w:val="22"/>
              </w:rPr>
            </w:pPr>
          </w:p>
        </w:tc>
      </w:tr>
      <w:tr w:rsidR="00EB3796" w:rsidRPr="00E056AE" w14:paraId="6A9EB239" w14:textId="77777777" w:rsidTr="004140B8">
        <w:tc>
          <w:tcPr>
            <w:tcW w:w="9128" w:type="dxa"/>
            <w:vAlign w:val="center"/>
          </w:tcPr>
          <w:p w14:paraId="43BB5682" w14:textId="77777777" w:rsidR="00EB3796" w:rsidRPr="00E056AE" w:rsidRDefault="00EB3796" w:rsidP="004140B8">
            <w:pPr>
              <w:spacing w:before="60" w:after="60" w:line="240" w:lineRule="auto"/>
              <w:rPr>
                <w:rFonts w:cstheme="minorHAnsi"/>
                <w:szCs w:val="22"/>
              </w:rPr>
            </w:pPr>
            <w:r w:rsidRPr="00E056AE">
              <w:rPr>
                <w:rFonts w:cstheme="minorHAnsi"/>
                <w:szCs w:val="22"/>
              </w:rPr>
              <w:t>3. THEORETICAL FRAMEWORK</w:t>
            </w:r>
          </w:p>
        </w:tc>
        <w:tc>
          <w:tcPr>
            <w:tcW w:w="1291" w:type="dxa"/>
            <w:vAlign w:val="center"/>
          </w:tcPr>
          <w:p w14:paraId="04F29DDC" w14:textId="77777777" w:rsidR="00EB3796" w:rsidRPr="00E056AE" w:rsidRDefault="00EB3796" w:rsidP="004140B8">
            <w:pPr>
              <w:spacing w:before="60" w:after="60" w:line="240" w:lineRule="auto"/>
              <w:rPr>
                <w:rFonts w:cstheme="minorHAnsi"/>
                <w:szCs w:val="22"/>
              </w:rPr>
            </w:pPr>
          </w:p>
        </w:tc>
      </w:tr>
      <w:tr w:rsidR="00EB3796" w:rsidRPr="00E056AE" w14:paraId="00A35BB7" w14:textId="77777777" w:rsidTr="004140B8">
        <w:tc>
          <w:tcPr>
            <w:tcW w:w="9128" w:type="dxa"/>
            <w:vAlign w:val="center"/>
          </w:tcPr>
          <w:p w14:paraId="6528227A" w14:textId="77777777" w:rsidR="00EB3796" w:rsidRPr="00E056AE" w:rsidRDefault="00EB3796" w:rsidP="004140B8">
            <w:pPr>
              <w:spacing w:before="60" w:after="60" w:line="240" w:lineRule="auto"/>
              <w:rPr>
                <w:rFonts w:cstheme="minorHAnsi"/>
                <w:szCs w:val="22"/>
              </w:rPr>
            </w:pPr>
            <w:r w:rsidRPr="00E056AE">
              <w:rPr>
                <w:rFonts w:cstheme="minorHAnsi"/>
                <w:szCs w:val="22"/>
              </w:rPr>
              <w:t xml:space="preserve">4. RESEARCH QUESTION/AIM(S) </w:t>
            </w:r>
          </w:p>
        </w:tc>
        <w:tc>
          <w:tcPr>
            <w:tcW w:w="1291" w:type="dxa"/>
            <w:vAlign w:val="center"/>
          </w:tcPr>
          <w:p w14:paraId="4FBF8021" w14:textId="77777777" w:rsidR="00EB3796" w:rsidRPr="00E056AE" w:rsidRDefault="00EB3796" w:rsidP="004140B8">
            <w:pPr>
              <w:spacing w:before="60" w:after="60" w:line="240" w:lineRule="auto"/>
              <w:rPr>
                <w:rFonts w:cstheme="minorHAnsi"/>
                <w:szCs w:val="22"/>
              </w:rPr>
            </w:pPr>
          </w:p>
        </w:tc>
      </w:tr>
      <w:tr w:rsidR="00EB3796" w:rsidRPr="00E056AE" w14:paraId="1789CD3B" w14:textId="77777777" w:rsidTr="004140B8">
        <w:tc>
          <w:tcPr>
            <w:tcW w:w="9128" w:type="dxa"/>
            <w:vAlign w:val="center"/>
          </w:tcPr>
          <w:p w14:paraId="16023A46" w14:textId="77777777" w:rsidR="00EB3796" w:rsidRPr="00E056AE" w:rsidRDefault="00EB3796" w:rsidP="004140B8">
            <w:pPr>
              <w:spacing w:before="60" w:after="60" w:line="240" w:lineRule="auto"/>
              <w:rPr>
                <w:rFonts w:cstheme="minorHAnsi"/>
                <w:szCs w:val="22"/>
              </w:rPr>
            </w:pPr>
            <w:r w:rsidRPr="00E056AE">
              <w:rPr>
                <w:rFonts w:cstheme="minorHAnsi"/>
                <w:szCs w:val="22"/>
              </w:rPr>
              <w:t>5. STUDY DESIGN/METHODS</w:t>
            </w:r>
          </w:p>
        </w:tc>
        <w:tc>
          <w:tcPr>
            <w:tcW w:w="1291" w:type="dxa"/>
            <w:vAlign w:val="center"/>
          </w:tcPr>
          <w:p w14:paraId="6E824B25" w14:textId="77777777" w:rsidR="00EB3796" w:rsidRPr="00E056AE" w:rsidRDefault="00EB3796" w:rsidP="004140B8">
            <w:pPr>
              <w:spacing w:before="60" w:after="60" w:line="240" w:lineRule="auto"/>
              <w:rPr>
                <w:rFonts w:cstheme="minorHAnsi"/>
                <w:szCs w:val="22"/>
              </w:rPr>
            </w:pPr>
          </w:p>
        </w:tc>
      </w:tr>
      <w:tr w:rsidR="00EB3796" w:rsidRPr="00E056AE" w14:paraId="1D1A1CC4" w14:textId="77777777" w:rsidTr="004140B8">
        <w:tc>
          <w:tcPr>
            <w:tcW w:w="9128" w:type="dxa"/>
            <w:vAlign w:val="center"/>
          </w:tcPr>
          <w:p w14:paraId="1C931931" w14:textId="77777777" w:rsidR="00EB3796" w:rsidRPr="00E056AE" w:rsidRDefault="00EB3796" w:rsidP="004140B8">
            <w:pPr>
              <w:spacing w:before="60" w:after="60" w:line="240" w:lineRule="auto"/>
              <w:rPr>
                <w:rFonts w:cstheme="minorHAnsi"/>
                <w:szCs w:val="22"/>
              </w:rPr>
            </w:pPr>
            <w:r w:rsidRPr="00E056AE">
              <w:rPr>
                <w:rFonts w:cstheme="minorHAnsi"/>
                <w:szCs w:val="22"/>
              </w:rPr>
              <w:t>6. STUDY SETTING</w:t>
            </w:r>
          </w:p>
        </w:tc>
        <w:tc>
          <w:tcPr>
            <w:tcW w:w="1291" w:type="dxa"/>
            <w:vAlign w:val="center"/>
          </w:tcPr>
          <w:p w14:paraId="523A2E96" w14:textId="77777777" w:rsidR="00EB3796" w:rsidRPr="00E056AE" w:rsidRDefault="00EB3796" w:rsidP="004140B8">
            <w:pPr>
              <w:spacing w:before="60" w:after="60" w:line="240" w:lineRule="auto"/>
              <w:rPr>
                <w:rFonts w:cstheme="minorHAnsi"/>
                <w:szCs w:val="22"/>
              </w:rPr>
            </w:pPr>
          </w:p>
        </w:tc>
      </w:tr>
      <w:tr w:rsidR="00EB3796" w:rsidRPr="00E056AE" w14:paraId="6B25E923" w14:textId="77777777" w:rsidTr="004140B8">
        <w:tc>
          <w:tcPr>
            <w:tcW w:w="9128" w:type="dxa"/>
            <w:vAlign w:val="center"/>
          </w:tcPr>
          <w:p w14:paraId="0DCE50BD" w14:textId="77777777" w:rsidR="00EB3796" w:rsidRPr="00E056AE" w:rsidRDefault="00EB3796" w:rsidP="004140B8">
            <w:pPr>
              <w:spacing w:before="60" w:after="60" w:line="240" w:lineRule="auto"/>
              <w:rPr>
                <w:rFonts w:cstheme="minorHAnsi"/>
                <w:szCs w:val="22"/>
              </w:rPr>
            </w:pPr>
            <w:r w:rsidRPr="00E056AE">
              <w:rPr>
                <w:rFonts w:cstheme="minorHAnsi"/>
                <w:szCs w:val="22"/>
              </w:rPr>
              <w:t>7. SAMPLE AND RECRUITMENT</w:t>
            </w:r>
          </w:p>
        </w:tc>
        <w:tc>
          <w:tcPr>
            <w:tcW w:w="1291" w:type="dxa"/>
            <w:vAlign w:val="center"/>
          </w:tcPr>
          <w:p w14:paraId="3EFC2BB7" w14:textId="77777777" w:rsidR="00EB3796" w:rsidRPr="00E056AE" w:rsidRDefault="00EB3796" w:rsidP="004140B8">
            <w:pPr>
              <w:spacing w:before="60" w:after="60" w:line="240" w:lineRule="auto"/>
              <w:rPr>
                <w:rFonts w:cstheme="minorHAnsi"/>
                <w:szCs w:val="22"/>
              </w:rPr>
            </w:pPr>
          </w:p>
        </w:tc>
      </w:tr>
      <w:tr w:rsidR="00EB3796" w:rsidRPr="00E056AE" w14:paraId="0BDFA06B" w14:textId="77777777" w:rsidTr="004140B8">
        <w:tc>
          <w:tcPr>
            <w:tcW w:w="9128" w:type="dxa"/>
            <w:vAlign w:val="center"/>
          </w:tcPr>
          <w:p w14:paraId="286DE5DE" w14:textId="77777777" w:rsidR="00EB3796" w:rsidRPr="00E056AE" w:rsidRDefault="00EB3796" w:rsidP="004140B8">
            <w:pPr>
              <w:spacing w:before="60" w:after="60" w:line="240" w:lineRule="auto"/>
              <w:rPr>
                <w:rFonts w:cstheme="minorHAnsi"/>
                <w:szCs w:val="22"/>
              </w:rPr>
            </w:pPr>
            <w:r w:rsidRPr="00E056AE">
              <w:rPr>
                <w:rFonts w:cstheme="minorHAnsi"/>
                <w:szCs w:val="22"/>
              </w:rPr>
              <w:t>8. ETHICAL AND REGULATORY COMPLIANCE</w:t>
            </w:r>
          </w:p>
        </w:tc>
        <w:tc>
          <w:tcPr>
            <w:tcW w:w="1291" w:type="dxa"/>
            <w:vAlign w:val="center"/>
          </w:tcPr>
          <w:p w14:paraId="1B183CC2" w14:textId="77777777" w:rsidR="00EB3796" w:rsidRPr="00E056AE" w:rsidRDefault="00EB3796" w:rsidP="004140B8">
            <w:pPr>
              <w:spacing w:before="60" w:after="60" w:line="240" w:lineRule="auto"/>
              <w:rPr>
                <w:rFonts w:cstheme="minorHAnsi"/>
                <w:szCs w:val="22"/>
              </w:rPr>
            </w:pPr>
          </w:p>
        </w:tc>
      </w:tr>
      <w:tr w:rsidR="00EB3796" w:rsidRPr="00E056AE" w14:paraId="74362C7F" w14:textId="77777777" w:rsidTr="004140B8">
        <w:tc>
          <w:tcPr>
            <w:tcW w:w="9128" w:type="dxa"/>
            <w:vAlign w:val="center"/>
          </w:tcPr>
          <w:p w14:paraId="1D19D65B" w14:textId="77777777" w:rsidR="00EB3796" w:rsidRPr="00E056AE" w:rsidRDefault="00EB3796" w:rsidP="004140B8">
            <w:pPr>
              <w:spacing w:before="60" w:after="60" w:line="240" w:lineRule="auto"/>
              <w:rPr>
                <w:rFonts w:cstheme="minorHAnsi"/>
                <w:szCs w:val="22"/>
              </w:rPr>
            </w:pPr>
            <w:r w:rsidRPr="00E056AE">
              <w:rPr>
                <w:rFonts w:cstheme="minorHAnsi"/>
                <w:szCs w:val="22"/>
              </w:rPr>
              <w:t xml:space="preserve">9. </w:t>
            </w:r>
            <w:proofErr w:type="gramStart"/>
            <w:r w:rsidRPr="00E056AE">
              <w:rPr>
                <w:rFonts w:cstheme="minorHAnsi"/>
                <w:szCs w:val="22"/>
              </w:rPr>
              <w:t>DISSEMINATION  POLICY</w:t>
            </w:r>
            <w:proofErr w:type="gramEnd"/>
          </w:p>
        </w:tc>
        <w:tc>
          <w:tcPr>
            <w:tcW w:w="1291" w:type="dxa"/>
            <w:vAlign w:val="center"/>
          </w:tcPr>
          <w:p w14:paraId="03411E5B" w14:textId="77777777" w:rsidR="00EB3796" w:rsidRPr="00E056AE" w:rsidRDefault="00EB3796" w:rsidP="004140B8">
            <w:pPr>
              <w:spacing w:before="60" w:after="60" w:line="240" w:lineRule="auto"/>
              <w:rPr>
                <w:rFonts w:cstheme="minorHAnsi"/>
                <w:szCs w:val="22"/>
              </w:rPr>
            </w:pPr>
          </w:p>
        </w:tc>
      </w:tr>
      <w:tr w:rsidR="00EB3796" w:rsidRPr="00E056AE" w14:paraId="0D1CBF0E" w14:textId="77777777" w:rsidTr="004140B8">
        <w:tc>
          <w:tcPr>
            <w:tcW w:w="9128" w:type="dxa"/>
            <w:vAlign w:val="center"/>
          </w:tcPr>
          <w:p w14:paraId="5D56011E" w14:textId="77777777" w:rsidR="00EB3796" w:rsidRPr="00E056AE" w:rsidRDefault="00EB3796" w:rsidP="004140B8">
            <w:pPr>
              <w:spacing w:before="60" w:after="60" w:line="240" w:lineRule="auto"/>
              <w:rPr>
                <w:rFonts w:cstheme="minorHAnsi"/>
                <w:szCs w:val="22"/>
              </w:rPr>
            </w:pPr>
            <w:r w:rsidRPr="00E056AE">
              <w:rPr>
                <w:rFonts w:cstheme="minorHAnsi"/>
                <w:szCs w:val="22"/>
              </w:rPr>
              <w:t>10. REFERENCES</w:t>
            </w:r>
          </w:p>
        </w:tc>
        <w:tc>
          <w:tcPr>
            <w:tcW w:w="1291" w:type="dxa"/>
            <w:vAlign w:val="center"/>
          </w:tcPr>
          <w:p w14:paraId="4775CBEB" w14:textId="77777777" w:rsidR="00EB3796" w:rsidRPr="00E056AE" w:rsidRDefault="00EB3796" w:rsidP="004140B8">
            <w:pPr>
              <w:spacing w:before="60" w:after="60" w:line="240" w:lineRule="auto"/>
              <w:rPr>
                <w:rFonts w:cstheme="minorHAnsi"/>
                <w:szCs w:val="22"/>
              </w:rPr>
            </w:pPr>
          </w:p>
        </w:tc>
      </w:tr>
      <w:tr w:rsidR="00EB3796" w:rsidRPr="00E056AE" w14:paraId="4BA5BE39" w14:textId="77777777" w:rsidTr="004140B8">
        <w:tc>
          <w:tcPr>
            <w:tcW w:w="9128" w:type="dxa"/>
            <w:vAlign w:val="center"/>
          </w:tcPr>
          <w:p w14:paraId="22DA36E8" w14:textId="77777777" w:rsidR="00EB3796" w:rsidRPr="00E056AE" w:rsidRDefault="00EB3796" w:rsidP="004140B8">
            <w:pPr>
              <w:spacing w:before="60" w:after="60" w:line="240" w:lineRule="auto"/>
              <w:rPr>
                <w:rFonts w:cstheme="minorHAnsi"/>
                <w:szCs w:val="22"/>
              </w:rPr>
            </w:pPr>
            <w:r w:rsidRPr="00E056AE">
              <w:rPr>
                <w:rFonts w:cstheme="minorHAnsi"/>
                <w:szCs w:val="22"/>
              </w:rPr>
              <w:t>11. APPENDICES</w:t>
            </w:r>
          </w:p>
        </w:tc>
        <w:tc>
          <w:tcPr>
            <w:tcW w:w="1291" w:type="dxa"/>
            <w:vAlign w:val="center"/>
          </w:tcPr>
          <w:p w14:paraId="28792C50" w14:textId="77777777" w:rsidR="00EB3796" w:rsidRPr="00E056AE" w:rsidRDefault="00EB3796" w:rsidP="004140B8">
            <w:pPr>
              <w:spacing w:before="60" w:after="60" w:line="240" w:lineRule="auto"/>
              <w:rPr>
                <w:rFonts w:cstheme="minorHAnsi"/>
                <w:color w:val="FF0000"/>
                <w:szCs w:val="22"/>
              </w:rPr>
            </w:pPr>
          </w:p>
        </w:tc>
      </w:tr>
    </w:tbl>
    <w:p w14:paraId="228A7C57" w14:textId="77777777" w:rsidR="00093582" w:rsidRPr="00E056AE" w:rsidRDefault="00093582">
      <w:pPr>
        <w:spacing w:after="0" w:line="240" w:lineRule="auto"/>
        <w:rPr>
          <w:rFonts w:eastAsiaTheme="majorEastAsia" w:cstheme="minorHAnsi"/>
          <w:b/>
          <w:bCs/>
          <w:color w:val="3B0083"/>
          <w:szCs w:val="22"/>
        </w:rPr>
      </w:pPr>
      <w:r w:rsidRPr="00E056AE">
        <w:rPr>
          <w:rFonts w:cstheme="minorHAnsi"/>
          <w:szCs w:val="22"/>
        </w:rPr>
        <w:br w:type="page"/>
      </w:r>
    </w:p>
    <w:p w14:paraId="76B4BE03" w14:textId="4951482F" w:rsidR="00475FDA" w:rsidRPr="00E056AE" w:rsidRDefault="00475FDA" w:rsidP="005C6633">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lastRenderedPageBreak/>
        <w:t xml:space="preserve">KEY </w:t>
      </w:r>
      <w:r w:rsidR="000A4DA5" w:rsidRPr="00E056AE">
        <w:rPr>
          <w:rFonts w:asciiTheme="minorHAnsi" w:hAnsiTheme="minorHAnsi" w:cstheme="minorHAnsi"/>
          <w:color w:val="auto"/>
          <w:sz w:val="22"/>
          <w:szCs w:val="22"/>
        </w:rPr>
        <w:t xml:space="preserve">STUDY </w:t>
      </w:r>
      <w:r w:rsidRPr="00E056AE">
        <w:rPr>
          <w:rFonts w:asciiTheme="minorHAnsi" w:hAnsiTheme="minorHAnsi" w:cstheme="minorHAnsi"/>
          <w:color w:val="auto"/>
          <w:sz w:val="22"/>
          <w:szCs w:val="22"/>
        </w:rPr>
        <w:t>CONTACTS</w:t>
      </w:r>
      <w:bookmarkEnd w:id="0"/>
    </w:p>
    <w:tbl>
      <w:tblPr>
        <w:tblStyle w:val="TableGrid"/>
        <w:tblW w:w="0" w:type="auto"/>
        <w:tblLook w:val="04A0" w:firstRow="1" w:lastRow="0" w:firstColumn="1" w:lastColumn="0" w:noHBand="0" w:noVBand="1"/>
      </w:tblPr>
      <w:tblGrid>
        <w:gridCol w:w="3873"/>
        <w:gridCol w:w="6089"/>
      </w:tblGrid>
      <w:tr w:rsidR="003C12DB" w:rsidRPr="00E056AE" w14:paraId="37F1B76C" w14:textId="77777777" w:rsidTr="003C12DB">
        <w:tc>
          <w:tcPr>
            <w:tcW w:w="3936" w:type="dxa"/>
          </w:tcPr>
          <w:p w14:paraId="20B9EE96" w14:textId="7F7852E4" w:rsidR="003C12DB" w:rsidRPr="00E056AE" w:rsidRDefault="003C12DB" w:rsidP="003802A1">
            <w:pPr>
              <w:spacing w:line="240" w:lineRule="auto"/>
              <w:rPr>
                <w:rFonts w:cstheme="minorHAnsi"/>
                <w:color w:val="0000FF"/>
                <w:szCs w:val="22"/>
              </w:rPr>
            </w:pPr>
            <w:r w:rsidRPr="00E056AE">
              <w:rPr>
                <w:rFonts w:cstheme="minorHAnsi"/>
              </w:rPr>
              <w:t>Chief Investigator</w:t>
            </w:r>
          </w:p>
        </w:tc>
        <w:tc>
          <w:tcPr>
            <w:tcW w:w="6252" w:type="dxa"/>
          </w:tcPr>
          <w:p w14:paraId="1802A146" w14:textId="60CFDE5A" w:rsidR="00667194" w:rsidRPr="00E056AE" w:rsidRDefault="00667194" w:rsidP="003802A1">
            <w:pPr>
              <w:spacing w:line="240" w:lineRule="auto"/>
              <w:rPr>
                <w:rFonts w:cstheme="minorHAnsi"/>
                <w:color w:val="0000FF"/>
                <w:szCs w:val="22"/>
              </w:rPr>
            </w:pPr>
          </w:p>
        </w:tc>
      </w:tr>
      <w:tr w:rsidR="003C12DB" w:rsidRPr="00E056AE" w14:paraId="488CD785" w14:textId="77777777" w:rsidTr="003C12DB">
        <w:tc>
          <w:tcPr>
            <w:tcW w:w="3936" w:type="dxa"/>
          </w:tcPr>
          <w:p w14:paraId="446678F7" w14:textId="194B19BC" w:rsidR="003C12DB" w:rsidRPr="00E056AE" w:rsidRDefault="0003364E" w:rsidP="003802A1">
            <w:pPr>
              <w:spacing w:line="240" w:lineRule="auto"/>
              <w:rPr>
                <w:rFonts w:cstheme="minorHAnsi"/>
                <w:color w:val="0000FF"/>
                <w:szCs w:val="22"/>
              </w:rPr>
            </w:pPr>
            <w:r w:rsidRPr="00E056AE">
              <w:rPr>
                <w:rFonts w:cstheme="minorHAnsi"/>
              </w:rPr>
              <w:t>Study</w:t>
            </w:r>
            <w:r w:rsidR="003C12DB" w:rsidRPr="00E056AE">
              <w:rPr>
                <w:rFonts w:cstheme="minorHAnsi"/>
              </w:rPr>
              <w:t xml:space="preserve"> Co-ordinator</w:t>
            </w:r>
          </w:p>
        </w:tc>
        <w:tc>
          <w:tcPr>
            <w:tcW w:w="6252" w:type="dxa"/>
          </w:tcPr>
          <w:p w14:paraId="2A3B85E8" w14:textId="2EE791C9" w:rsidR="00667194" w:rsidRPr="00E056AE" w:rsidRDefault="00667194" w:rsidP="003802A1">
            <w:pPr>
              <w:spacing w:line="240" w:lineRule="auto"/>
              <w:rPr>
                <w:rFonts w:cstheme="minorHAnsi"/>
                <w:color w:val="0000FF"/>
                <w:szCs w:val="22"/>
              </w:rPr>
            </w:pPr>
          </w:p>
        </w:tc>
      </w:tr>
      <w:tr w:rsidR="003C12DB" w:rsidRPr="00E056AE" w14:paraId="4072219F" w14:textId="77777777" w:rsidTr="003C12DB">
        <w:tc>
          <w:tcPr>
            <w:tcW w:w="3936" w:type="dxa"/>
          </w:tcPr>
          <w:p w14:paraId="430FFEC6" w14:textId="2BAE3A45" w:rsidR="003C12DB" w:rsidRPr="00E056AE" w:rsidRDefault="003C12DB" w:rsidP="003802A1">
            <w:pPr>
              <w:spacing w:line="240" w:lineRule="auto"/>
              <w:rPr>
                <w:rFonts w:cstheme="minorHAnsi"/>
                <w:color w:val="0000FF"/>
                <w:szCs w:val="22"/>
              </w:rPr>
            </w:pPr>
            <w:r w:rsidRPr="00E056AE">
              <w:rPr>
                <w:rFonts w:cstheme="minorHAnsi"/>
              </w:rPr>
              <w:t>Sponsor</w:t>
            </w:r>
          </w:p>
        </w:tc>
        <w:tc>
          <w:tcPr>
            <w:tcW w:w="6252" w:type="dxa"/>
          </w:tcPr>
          <w:p w14:paraId="57ADC52D" w14:textId="675597BD" w:rsidR="007536FC" w:rsidRPr="00E056AE" w:rsidRDefault="007536FC" w:rsidP="00ED7841">
            <w:pPr>
              <w:shd w:val="clear" w:color="auto" w:fill="FFFFFF"/>
              <w:spacing w:after="0" w:line="240" w:lineRule="auto"/>
              <w:rPr>
                <w:rFonts w:cstheme="minorHAnsi"/>
                <w:color w:val="0000FF"/>
                <w:szCs w:val="22"/>
              </w:rPr>
            </w:pPr>
          </w:p>
        </w:tc>
      </w:tr>
      <w:tr w:rsidR="003C12DB" w:rsidRPr="00E056AE" w14:paraId="4F303E55" w14:textId="77777777" w:rsidTr="003C12DB">
        <w:trPr>
          <w:trHeight w:val="104"/>
        </w:trPr>
        <w:tc>
          <w:tcPr>
            <w:tcW w:w="3936" w:type="dxa"/>
          </w:tcPr>
          <w:p w14:paraId="4CA5469E" w14:textId="69B85299" w:rsidR="003C12DB" w:rsidRPr="00E056AE" w:rsidRDefault="003C12DB" w:rsidP="003802A1">
            <w:pPr>
              <w:spacing w:line="240" w:lineRule="auto"/>
              <w:rPr>
                <w:rFonts w:cstheme="minorHAnsi"/>
                <w:color w:val="0000FF"/>
                <w:szCs w:val="22"/>
              </w:rPr>
            </w:pPr>
            <w:r w:rsidRPr="00E056AE">
              <w:rPr>
                <w:rFonts w:cstheme="minorHAnsi"/>
              </w:rPr>
              <w:t xml:space="preserve">Joint-sponsor(s)/co-sponsor(s) </w:t>
            </w:r>
          </w:p>
        </w:tc>
        <w:tc>
          <w:tcPr>
            <w:tcW w:w="6252" w:type="dxa"/>
          </w:tcPr>
          <w:p w14:paraId="7B92F0E3" w14:textId="6D1B54CD" w:rsidR="003C12DB" w:rsidRPr="00E056AE" w:rsidRDefault="003C12DB" w:rsidP="003802A1">
            <w:pPr>
              <w:spacing w:line="240" w:lineRule="auto"/>
              <w:rPr>
                <w:rFonts w:cstheme="minorHAnsi"/>
                <w:color w:val="0000FF"/>
                <w:szCs w:val="22"/>
              </w:rPr>
            </w:pPr>
          </w:p>
        </w:tc>
      </w:tr>
      <w:tr w:rsidR="003C12DB" w:rsidRPr="00E056AE" w14:paraId="21A94519" w14:textId="77777777" w:rsidTr="003C12DB">
        <w:tc>
          <w:tcPr>
            <w:tcW w:w="3936" w:type="dxa"/>
          </w:tcPr>
          <w:p w14:paraId="08D4251D" w14:textId="105DAF0F" w:rsidR="003C12DB" w:rsidRPr="00E056AE" w:rsidRDefault="003C12DB" w:rsidP="003802A1">
            <w:pPr>
              <w:spacing w:line="240" w:lineRule="auto"/>
              <w:rPr>
                <w:rFonts w:cstheme="minorHAnsi"/>
                <w:color w:val="0000FF"/>
                <w:szCs w:val="22"/>
              </w:rPr>
            </w:pPr>
            <w:r w:rsidRPr="00E056AE">
              <w:rPr>
                <w:rFonts w:cstheme="minorHAnsi"/>
              </w:rPr>
              <w:t>Funder(s)</w:t>
            </w:r>
          </w:p>
        </w:tc>
        <w:tc>
          <w:tcPr>
            <w:tcW w:w="6252" w:type="dxa"/>
          </w:tcPr>
          <w:p w14:paraId="4DA08208" w14:textId="4F392FF9" w:rsidR="00667194" w:rsidRPr="00E056AE" w:rsidRDefault="00667194" w:rsidP="00ED7841">
            <w:pPr>
              <w:spacing w:line="240" w:lineRule="auto"/>
              <w:rPr>
                <w:rFonts w:cstheme="minorHAnsi"/>
                <w:color w:val="0000FF"/>
                <w:szCs w:val="22"/>
              </w:rPr>
            </w:pPr>
          </w:p>
        </w:tc>
      </w:tr>
      <w:tr w:rsidR="003C12DB" w:rsidRPr="00E056AE" w14:paraId="215561C8" w14:textId="77777777" w:rsidTr="003C12DB">
        <w:tc>
          <w:tcPr>
            <w:tcW w:w="3936" w:type="dxa"/>
          </w:tcPr>
          <w:p w14:paraId="389EF0F2" w14:textId="5D1FAA42" w:rsidR="003C12DB" w:rsidRPr="00E056AE" w:rsidRDefault="003C12DB" w:rsidP="003802A1">
            <w:pPr>
              <w:spacing w:line="240" w:lineRule="auto"/>
              <w:rPr>
                <w:rFonts w:cstheme="minorHAnsi"/>
                <w:color w:val="0000FF"/>
                <w:szCs w:val="22"/>
              </w:rPr>
            </w:pPr>
            <w:r w:rsidRPr="00E056AE">
              <w:rPr>
                <w:rFonts w:cstheme="minorHAnsi"/>
              </w:rPr>
              <w:t>Key Protocol Contributors</w:t>
            </w:r>
          </w:p>
        </w:tc>
        <w:tc>
          <w:tcPr>
            <w:tcW w:w="6252" w:type="dxa"/>
          </w:tcPr>
          <w:p w14:paraId="448E4762" w14:textId="3A5E1D13" w:rsidR="003C12DB" w:rsidRPr="00E056AE" w:rsidRDefault="003C12DB" w:rsidP="003802A1">
            <w:pPr>
              <w:spacing w:line="240" w:lineRule="auto"/>
              <w:rPr>
                <w:rFonts w:cstheme="minorHAnsi"/>
                <w:color w:val="0000FF"/>
                <w:szCs w:val="22"/>
              </w:rPr>
            </w:pPr>
          </w:p>
        </w:tc>
      </w:tr>
      <w:tr w:rsidR="003C12DB" w:rsidRPr="00E056AE" w14:paraId="1AB8C106" w14:textId="77777777" w:rsidTr="003C12DB">
        <w:tc>
          <w:tcPr>
            <w:tcW w:w="3936" w:type="dxa"/>
          </w:tcPr>
          <w:p w14:paraId="694C149B" w14:textId="2CBDA28D" w:rsidR="003C12DB" w:rsidRPr="00E056AE" w:rsidRDefault="003C12DB" w:rsidP="003802A1">
            <w:pPr>
              <w:spacing w:line="240" w:lineRule="auto"/>
              <w:rPr>
                <w:rFonts w:cstheme="minorHAnsi"/>
              </w:rPr>
            </w:pPr>
            <w:r w:rsidRPr="00E056AE">
              <w:rPr>
                <w:rFonts w:cstheme="minorHAnsi"/>
              </w:rPr>
              <w:t>Committees</w:t>
            </w:r>
          </w:p>
        </w:tc>
        <w:tc>
          <w:tcPr>
            <w:tcW w:w="6252" w:type="dxa"/>
          </w:tcPr>
          <w:p w14:paraId="26BF7A04" w14:textId="340D16ED" w:rsidR="003C12DB" w:rsidRPr="00E056AE" w:rsidRDefault="003C12DB" w:rsidP="003802A1">
            <w:pPr>
              <w:spacing w:line="240" w:lineRule="auto"/>
              <w:rPr>
                <w:rFonts w:cstheme="minorHAnsi"/>
                <w:color w:val="0000FF"/>
                <w:szCs w:val="22"/>
              </w:rPr>
            </w:pPr>
          </w:p>
        </w:tc>
      </w:tr>
    </w:tbl>
    <w:p w14:paraId="2D3CCADC" w14:textId="77777777" w:rsidR="003C12DB" w:rsidRPr="00E056AE" w:rsidRDefault="003C12DB" w:rsidP="003802A1">
      <w:pPr>
        <w:spacing w:line="240" w:lineRule="auto"/>
        <w:rPr>
          <w:rFonts w:cstheme="minorHAnsi"/>
          <w:b/>
          <w:color w:val="0000FF"/>
          <w:szCs w:val="22"/>
        </w:rPr>
      </w:pPr>
    </w:p>
    <w:p w14:paraId="6B04F7E8" w14:textId="2FD58363" w:rsidR="00475FDA" w:rsidRPr="00E056AE" w:rsidRDefault="0003364E" w:rsidP="002D2D7D">
      <w:pPr>
        <w:spacing w:line="240" w:lineRule="auto"/>
        <w:rPr>
          <w:rFonts w:cstheme="minorHAnsi"/>
          <w:b/>
          <w:szCs w:val="22"/>
        </w:rPr>
      </w:pPr>
      <w:r w:rsidRPr="00E056AE">
        <w:rPr>
          <w:rFonts w:cstheme="minorHAnsi"/>
          <w:b/>
          <w:szCs w:val="22"/>
        </w:rPr>
        <w:t>STUDY</w:t>
      </w:r>
      <w:r w:rsidR="00475FDA" w:rsidRPr="00E056AE">
        <w:rPr>
          <w:rFonts w:cstheme="minorHAnsi"/>
          <w:b/>
          <w:szCs w:val="22"/>
        </w:rPr>
        <w:t xml:space="preserve"> SUMMARY</w:t>
      </w:r>
    </w:p>
    <w:p w14:paraId="06D8C974" w14:textId="77777777" w:rsidR="005A6EAB" w:rsidRPr="00E056AE"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E056AE" w14:paraId="5F042276" w14:textId="77777777" w:rsidTr="001D1F95">
        <w:trPr>
          <w:trHeight w:val="385"/>
        </w:trPr>
        <w:tc>
          <w:tcPr>
            <w:tcW w:w="3936" w:type="dxa"/>
          </w:tcPr>
          <w:p w14:paraId="33BB8C9C" w14:textId="7E4B1372" w:rsidR="00475FDA" w:rsidRPr="00E056AE" w:rsidRDefault="0003364E" w:rsidP="003802A1">
            <w:pPr>
              <w:spacing w:line="240" w:lineRule="auto"/>
              <w:rPr>
                <w:rFonts w:cstheme="minorHAnsi"/>
                <w:szCs w:val="22"/>
              </w:rPr>
            </w:pPr>
            <w:r w:rsidRPr="00E056AE">
              <w:rPr>
                <w:rFonts w:cstheme="minorHAnsi"/>
                <w:szCs w:val="22"/>
              </w:rPr>
              <w:t>Study</w:t>
            </w:r>
            <w:r w:rsidR="00475FDA" w:rsidRPr="00E056AE">
              <w:rPr>
                <w:rFonts w:cstheme="minorHAnsi"/>
                <w:szCs w:val="22"/>
              </w:rPr>
              <w:t xml:space="preserve"> Title</w:t>
            </w:r>
          </w:p>
        </w:tc>
        <w:tc>
          <w:tcPr>
            <w:tcW w:w="6237" w:type="dxa"/>
          </w:tcPr>
          <w:p w14:paraId="6CCEBD98" w14:textId="4E3DFDA0" w:rsidR="00475FDA" w:rsidRPr="00E056AE" w:rsidRDefault="00475FDA" w:rsidP="002B369C">
            <w:pPr>
              <w:spacing w:after="0" w:line="240" w:lineRule="auto"/>
              <w:rPr>
                <w:rFonts w:cstheme="minorHAnsi"/>
                <w:szCs w:val="22"/>
              </w:rPr>
            </w:pPr>
          </w:p>
          <w:p w14:paraId="54742B2D" w14:textId="77777777" w:rsidR="0012129D" w:rsidRPr="00E056AE" w:rsidRDefault="0012129D" w:rsidP="002B369C">
            <w:pPr>
              <w:spacing w:after="0" w:line="240" w:lineRule="auto"/>
              <w:rPr>
                <w:rFonts w:cstheme="minorHAnsi"/>
                <w:szCs w:val="22"/>
              </w:rPr>
            </w:pPr>
          </w:p>
          <w:p w14:paraId="3D0E0C8C" w14:textId="04A53C5C" w:rsidR="0012129D" w:rsidRPr="00E056AE" w:rsidRDefault="0012129D" w:rsidP="0012129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Semi-structured interviews and focus groups to explore the experiences, views, and concerns of both migrant patients and health-service providers around receiving or delivering treatment and care for latent tuberculosis infection (LTBI) and active tuberculosis (TB) at NHS services.</w:t>
            </w:r>
          </w:p>
        </w:tc>
      </w:tr>
      <w:tr w:rsidR="0099180D" w:rsidRPr="00E056AE" w14:paraId="0C338093" w14:textId="77777777" w:rsidTr="001D1F95">
        <w:trPr>
          <w:trHeight w:val="385"/>
        </w:trPr>
        <w:tc>
          <w:tcPr>
            <w:tcW w:w="3936" w:type="dxa"/>
          </w:tcPr>
          <w:p w14:paraId="3CAAED46" w14:textId="77777777" w:rsidR="0099180D" w:rsidRPr="00E056AE" w:rsidRDefault="0099180D" w:rsidP="0099180D">
            <w:pPr>
              <w:spacing w:line="240" w:lineRule="auto"/>
              <w:rPr>
                <w:rFonts w:cstheme="minorHAnsi"/>
                <w:szCs w:val="22"/>
              </w:rPr>
            </w:pPr>
            <w:r w:rsidRPr="00E056AE">
              <w:rPr>
                <w:rFonts w:cstheme="minorHAnsi"/>
                <w:szCs w:val="22"/>
              </w:rPr>
              <w:t>Internal ref. no. (or short title)</w:t>
            </w:r>
          </w:p>
        </w:tc>
        <w:tc>
          <w:tcPr>
            <w:tcW w:w="6237" w:type="dxa"/>
          </w:tcPr>
          <w:p w14:paraId="045D5932" w14:textId="19FC37EB" w:rsidR="0012129D" w:rsidRPr="00E056AE" w:rsidRDefault="00CE758E" w:rsidP="009918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t>Qualitative analysis of LTBI and TB care experience</w:t>
            </w:r>
          </w:p>
        </w:tc>
      </w:tr>
      <w:tr w:rsidR="0099180D" w:rsidRPr="00E056AE" w14:paraId="6BE9617D" w14:textId="77777777" w:rsidTr="001D1F95">
        <w:trPr>
          <w:trHeight w:val="371"/>
        </w:trPr>
        <w:tc>
          <w:tcPr>
            <w:tcW w:w="3936" w:type="dxa"/>
          </w:tcPr>
          <w:p w14:paraId="3F2D11B3" w14:textId="39C9E809" w:rsidR="0099180D" w:rsidRPr="00E056AE" w:rsidRDefault="0099180D" w:rsidP="0099180D">
            <w:pPr>
              <w:spacing w:line="240" w:lineRule="auto"/>
              <w:rPr>
                <w:rFonts w:cstheme="minorHAnsi"/>
                <w:szCs w:val="22"/>
              </w:rPr>
            </w:pPr>
            <w:r w:rsidRPr="00E056AE">
              <w:rPr>
                <w:rFonts w:cstheme="minorHAnsi"/>
                <w:szCs w:val="22"/>
              </w:rPr>
              <w:t>Study Design</w:t>
            </w:r>
          </w:p>
        </w:tc>
        <w:tc>
          <w:tcPr>
            <w:tcW w:w="6237" w:type="dxa"/>
          </w:tcPr>
          <w:p w14:paraId="3F0CDF90" w14:textId="3B37B5EC" w:rsidR="0099180D" w:rsidRPr="00E056AE" w:rsidRDefault="006E71E7" w:rsidP="006E71E7">
            <w:pPr>
              <w:spacing w:line="240" w:lineRule="auto"/>
              <w:rPr>
                <w:rFonts w:cstheme="minorHAnsi"/>
              </w:rPr>
            </w:pPr>
            <w:r w:rsidRPr="00E056AE">
              <w:rPr>
                <w:rFonts w:cstheme="minorHAnsi"/>
              </w:rPr>
              <w:t>Semi-structured interviews and focus groups</w:t>
            </w:r>
          </w:p>
        </w:tc>
      </w:tr>
      <w:tr w:rsidR="0099180D" w:rsidRPr="00E056AE" w14:paraId="37FD4EEE" w14:textId="77777777" w:rsidTr="001D1F95">
        <w:trPr>
          <w:trHeight w:val="703"/>
        </w:trPr>
        <w:tc>
          <w:tcPr>
            <w:tcW w:w="3936" w:type="dxa"/>
          </w:tcPr>
          <w:p w14:paraId="734DF1DE" w14:textId="0EB25FDA" w:rsidR="0099180D" w:rsidRPr="00E056AE" w:rsidRDefault="0099180D" w:rsidP="0099180D">
            <w:pPr>
              <w:spacing w:line="240" w:lineRule="auto"/>
              <w:rPr>
                <w:rFonts w:cstheme="minorHAnsi"/>
                <w:szCs w:val="22"/>
              </w:rPr>
            </w:pPr>
            <w:r w:rsidRPr="00E056AE">
              <w:rPr>
                <w:rFonts w:cstheme="minorHAnsi"/>
                <w:szCs w:val="22"/>
              </w:rPr>
              <w:t>Study Participants</w:t>
            </w:r>
          </w:p>
        </w:tc>
        <w:tc>
          <w:tcPr>
            <w:tcW w:w="6237" w:type="dxa"/>
          </w:tcPr>
          <w:p w14:paraId="34C83461" w14:textId="634AED8F" w:rsidR="008403AE" w:rsidRPr="00E056AE" w:rsidRDefault="008403AE" w:rsidP="00B64FFF">
            <w:pPr>
              <w:pStyle w:val="ListParagraph"/>
              <w:numPr>
                <w:ilvl w:val="0"/>
                <w:numId w:val="34"/>
              </w:numPr>
              <w:spacing w:line="240" w:lineRule="auto"/>
              <w:rPr>
                <w:rFonts w:cstheme="minorHAnsi"/>
              </w:rPr>
            </w:pPr>
            <w:r w:rsidRPr="00E056AE">
              <w:rPr>
                <w:rFonts w:cstheme="minorHAnsi"/>
              </w:rPr>
              <w:t xml:space="preserve">Current and/or past tuberculosis and LTBI patients born </w:t>
            </w:r>
            <w:r w:rsidR="00534D79" w:rsidRPr="00E056AE">
              <w:rPr>
                <w:rFonts w:cstheme="minorHAnsi"/>
              </w:rPr>
              <w:t>outside the UK</w:t>
            </w:r>
            <w:r w:rsidRPr="00E056AE">
              <w:rPr>
                <w:rFonts w:cstheme="minorHAnsi"/>
              </w:rPr>
              <w:t xml:space="preserve"> (migrants) </w:t>
            </w:r>
          </w:p>
          <w:p w14:paraId="7F8E3F5C" w14:textId="2774715E" w:rsidR="008403AE" w:rsidRPr="00E056AE" w:rsidRDefault="008403AE" w:rsidP="008403AE">
            <w:pPr>
              <w:pStyle w:val="ListParagraph"/>
              <w:numPr>
                <w:ilvl w:val="0"/>
                <w:numId w:val="19"/>
              </w:numPr>
              <w:spacing w:line="240" w:lineRule="auto"/>
              <w:rPr>
                <w:rFonts w:cstheme="minorHAnsi"/>
              </w:rPr>
            </w:pPr>
            <w:r w:rsidRPr="00E056AE">
              <w:rPr>
                <w:rFonts w:cstheme="minorHAnsi"/>
              </w:rPr>
              <w:t xml:space="preserve">Health-service providers </w:t>
            </w:r>
            <w:r w:rsidR="00534D79" w:rsidRPr="00E056AE">
              <w:rPr>
                <w:rFonts w:cstheme="minorHAnsi"/>
              </w:rPr>
              <w:t>involved in</w:t>
            </w:r>
            <w:r w:rsidRPr="00E056AE">
              <w:rPr>
                <w:rFonts w:cstheme="minorHAnsi"/>
              </w:rPr>
              <w:t xml:space="preserve"> LTBI and TB patient care and management.</w:t>
            </w:r>
            <w:r w:rsidR="00534D79" w:rsidRPr="00E056AE">
              <w:rPr>
                <w:rFonts w:cstheme="minorHAnsi"/>
              </w:rPr>
              <w:t xml:space="preserve"> </w:t>
            </w:r>
          </w:p>
          <w:p w14:paraId="45BB24D4" w14:textId="639167E5" w:rsidR="00034A7D" w:rsidRPr="00E056AE" w:rsidRDefault="00034A7D" w:rsidP="008403AE">
            <w:pPr>
              <w:pStyle w:val="ListParagraph"/>
              <w:numPr>
                <w:ilvl w:val="0"/>
                <w:numId w:val="19"/>
              </w:numPr>
              <w:spacing w:line="240" w:lineRule="auto"/>
              <w:rPr>
                <w:rFonts w:cstheme="minorHAnsi"/>
              </w:rPr>
            </w:pPr>
            <w:r w:rsidRPr="00E056AE">
              <w:rPr>
                <w:rFonts w:cstheme="minorHAnsi"/>
              </w:rPr>
              <w:t>Approximately</w:t>
            </w:r>
            <w:r w:rsidR="008579DC" w:rsidRPr="00E056AE">
              <w:rPr>
                <w:rFonts w:cstheme="minorHAnsi"/>
              </w:rPr>
              <w:t xml:space="preserve"> </w:t>
            </w:r>
            <w:r w:rsidR="0099180D" w:rsidRPr="00E056AE">
              <w:rPr>
                <w:rFonts w:cstheme="minorHAnsi"/>
              </w:rPr>
              <w:t xml:space="preserve">20 </w:t>
            </w:r>
            <w:r w:rsidR="008579DC" w:rsidRPr="00E056AE">
              <w:rPr>
                <w:rFonts w:cstheme="minorHAnsi"/>
              </w:rPr>
              <w:t xml:space="preserve">migrant </w:t>
            </w:r>
            <w:r w:rsidR="0099180D" w:rsidRPr="00E056AE">
              <w:rPr>
                <w:rFonts w:cstheme="minorHAnsi"/>
              </w:rPr>
              <w:t>patients</w:t>
            </w:r>
            <w:r w:rsidRPr="00E056AE">
              <w:rPr>
                <w:rFonts w:cstheme="minorHAnsi"/>
              </w:rPr>
              <w:t xml:space="preserve"> with experience of LTBI </w:t>
            </w:r>
            <w:r w:rsidR="00534D79" w:rsidRPr="00E056AE">
              <w:rPr>
                <w:rFonts w:cstheme="minorHAnsi"/>
              </w:rPr>
              <w:t xml:space="preserve">or </w:t>
            </w:r>
            <w:r w:rsidRPr="00E056AE">
              <w:rPr>
                <w:rFonts w:cstheme="minorHAnsi"/>
              </w:rPr>
              <w:t xml:space="preserve">TB </w:t>
            </w:r>
            <w:r w:rsidR="00534D79" w:rsidRPr="00E056AE">
              <w:rPr>
                <w:rFonts w:cstheme="minorHAnsi"/>
              </w:rPr>
              <w:t>treatment</w:t>
            </w:r>
            <w:r w:rsidRPr="00E056AE">
              <w:rPr>
                <w:rFonts w:cstheme="minorHAnsi"/>
              </w:rPr>
              <w:t>.</w:t>
            </w:r>
          </w:p>
          <w:p w14:paraId="1044BC6D" w14:textId="6A22AC39" w:rsidR="0099180D" w:rsidRPr="00E056AE" w:rsidRDefault="00034A7D" w:rsidP="008403AE">
            <w:pPr>
              <w:pStyle w:val="ListParagraph"/>
              <w:numPr>
                <w:ilvl w:val="0"/>
                <w:numId w:val="19"/>
              </w:numPr>
              <w:spacing w:line="240" w:lineRule="auto"/>
              <w:rPr>
                <w:rFonts w:cstheme="minorHAnsi"/>
              </w:rPr>
            </w:pPr>
            <w:r w:rsidRPr="00E056AE">
              <w:rPr>
                <w:rFonts w:cstheme="minorHAnsi"/>
              </w:rPr>
              <w:t xml:space="preserve">Approximately 20 </w:t>
            </w:r>
            <w:r w:rsidR="006E71E7" w:rsidRPr="00E056AE">
              <w:rPr>
                <w:rFonts w:cstheme="minorHAnsi"/>
              </w:rPr>
              <w:t>health-service providers</w:t>
            </w:r>
            <w:r w:rsidRPr="00E056AE">
              <w:rPr>
                <w:rFonts w:cstheme="minorHAnsi"/>
              </w:rPr>
              <w:t xml:space="preserve"> with experience </w:t>
            </w:r>
            <w:r w:rsidR="00534D79" w:rsidRPr="00E056AE">
              <w:rPr>
                <w:rFonts w:cstheme="minorHAnsi"/>
              </w:rPr>
              <w:t xml:space="preserve">delivering </w:t>
            </w:r>
            <w:r w:rsidRPr="00E056AE">
              <w:rPr>
                <w:rFonts w:cstheme="minorHAnsi"/>
              </w:rPr>
              <w:t xml:space="preserve">LTBI </w:t>
            </w:r>
            <w:r w:rsidR="00534D79" w:rsidRPr="00E056AE">
              <w:rPr>
                <w:rFonts w:cstheme="minorHAnsi"/>
              </w:rPr>
              <w:t xml:space="preserve">or </w:t>
            </w:r>
            <w:r w:rsidRPr="00E056AE">
              <w:rPr>
                <w:rFonts w:cstheme="minorHAnsi"/>
              </w:rPr>
              <w:t xml:space="preserve">TB </w:t>
            </w:r>
            <w:r w:rsidR="00534D79" w:rsidRPr="00E056AE">
              <w:rPr>
                <w:rFonts w:cstheme="minorHAnsi"/>
              </w:rPr>
              <w:t>treatment to migrant patients</w:t>
            </w:r>
            <w:r w:rsidRPr="00E056AE">
              <w:rPr>
                <w:rFonts w:cstheme="minorHAnsi"/>
              </w:rPr>
              <w:t xml:space="preserve">. </w:t>
            </w:r>
          </w:p>
        </w:tc>
      </w:tr>
      <w:tr w:rsidR="0099180D" w:rsidRPr="00E056AE" w14:paraId="4CCE0C58" w14:textId="77777777" w:rsidTr="001D1F95">
        <w:trPr>
          <w:trHeight w:val="755"/>
        </w:trPr>
        <w:tc>
          <w:tcPr>
            <w:tcW w:w="3936" w:type="dxa"/>
          </w:tcPr>
          <w:p w14:paraId="0BC9D62F" w14:textId="1CDAE715" w:rsidR="0099180D" w:rsidRPr="00E056AE" w:rsidRDefault="0099180D" w:rsidP="0099180D">
            <w:pPr>
              <w:spacing w:line="240" w:lineRule="auto"/>
              <w:rPr>
                <w:rFonts w:cstheme="minorHAnsi"/>
                <w:szCs w:val="22"/>
              </w:rPr>
            </w:pPr>
            <w:r w:rsidRPr="00E056AE">
              <w:rPr>
                <w:rFonts w:cstheme="minorHAnsi"/>
                <w:szCs w:val="22"/>
              </w:rPr>
              <w:t>Planned Size of Sample (if applicable)</w:t>
            </w:r>
          </w:p>
        </w:tc>
        <w:tc>
          <w:tcPr>
            <w:tcW w:w="6237" w:type="dxa"/>
          </w:tcPr>
          <w:p w14:paraId="592A74C2" w14:textId="4E53BF9A" w:rsidR="0099180D" w:rsidRPr="00E056AE" w:rsidRDefault="008579DC" w:rsidP="00CE758E">
            <w:pPr>
              <w:pStyle w:val="ListParagraph"/>
              <w:numPr>
                <w:ilvl w:val="0"/>
                <w:numId w:val="19"/>
              </w:numPr>
              <w:spacing w:line="240" w:lineRule="auto"/>
              <w:rPr>
                <w:rFonts w:cstheme="minorHAnsi"/>
              </w:rPr>
            </w:pPr>
            <w:r w:rsidRPr="00E056AE">
              <w:rPr>
                <w:rFonts w:cstheme="minorHAnsi"/>
              </w:rPr>
              <w:t xml:space="preserve">Approximately </w:t>
            </w:r>
            <w:r w:rsidR="00CE758E" w:rsidRPr="00E056AE">
              <w:rPr>
                <w:rFonts w:cstheme="minorHAnsi"/>
              </w:rPr>
              <w:t>40 individual participants</w:t>
            </w:r>
          </w:p>
        </w:tc>
      </w:tr>
      <w:tr w:rsidR="003C12DB" w:rsidRPr="00E056AE" w14:paraId="23FDA7F9" w14:textId="77777777" w:rsidTr="001D1F95">
        <w:trPr>
          <w:trHeight w:val="385"/>
        </w:trPr>
        <w:tc>
          <w:tcPr>
            <w:tcW w:w="3936" w:type="dxa"/>
          </w:tcPr>
          <w:p w14:paraId="2873A146" w14:textId="6BBC129D" w:rsidR="00475FDA" w:rsidRPr="00E056AE" w:rsidRDefault="00475FDA" w:rsidP="003802A1">
            <w:pPr>
              <w:spacing w:line="240" w:lineRule="auto"/>
              <w:rPr>
                <w:rFonts w:cstheme="minorHAnsi"/>
                <w:szCs w:val="22"/>
              </w:rPr>
            </w:pPr>
            <w:r w:rsidRPr="00E056AE">
              <w:rPr>
                <w:rFonts w:cstheme="minorHAnsi"/>
                <w:szCs w:val="22"/>
              </w:rPr>
              <w:t>Follow up duration</w:t>
            </w:r>
            <w:r w:rsidR="00F330BB" w:rsidRPr="00E056AE">
              <w:rPr>
                <w:rFonts w:cstheme="minorHAnsi"/>
                <w:szCs w:val="22"/>
              </w:rPr>
              <w:t xml:space="preserve"> (if applicable)</w:t>
            </w:r>
          </w:p>
        </w:tc>
        <w:tc>
          <w:tcPr>
            <w:tcW w:w="6237" w:type="dxa"/>
          </w:tcPr>
          <w:p w14:paraId="76FEB1F3" w14:textId="0789E1E5" w:rsidR="00475FDA" w:rsidRPr="00E056AE" w:rsidRDefault="00A96A46" w:rsidP="003802A1">
            <w:pPr>
              <w:spacing w:line="240" w:lineRule="auto"/>
              <w:rPr>
                <w:rFonts w:cstheme="minorHAnsi"/>
                <w:color w:val="0000FF"/>
                <w:szCs w:val="22"/>
              </w:rPr>
            </w:pPr>
            <w:r w:rsidRPr="00E056AE">
              <w:rPr>
                <w:rFonts w:cstheme="minorHAnsi"/>
                <w:szCs w:val="22"/>
              </w:rPr>
              <w:t>N/A</w:t>
            </w:r>
          </w:p>
        </w:tc>
      </w:tr>
      <w:tr w:rsidR="003C12DB" w:rsidRPr="00E056AE" w14:paraId="15260F08" w14:textId="77777777" w:rsidTr="001D1F95">
        <w:trPr>
          <w:trHeight w:val="385"/>
        </w:trPr>
        <w:tc>
          <w:tcPr>
            <w:tcW w:w="3936" w:type="dxa"/>
          </w:tcPr>
          <w:p w14:paraId="5521B620" w14:textId="50519947" w:rsidR="00475FDA" w:rsidRPr="00E056AE" w:rsidRDefault="00475FDA" w:rsidP="00A27E45">
            <w:pPr>
              <w:spacing w:line="240" w:lineRule="auto"/>
              <w:rPr>
                <w:rFonts w:cstheme="minorHAnsi"/>
                <w:szCs w:val="22"/>
              </w:rPr>
            </w:pPr>
            <w:r w:rsidRPr="00E056AE">
              <w:rPr>
                <w:rFonts w:cstheme="minorHAnsi"/>
                <w:szCs w:val="22"/>
              </w:rPr>
              <w:t xml:space="preserve">Planned </w:t>
            </w:r>
            <w:r w:rsidR="00A27E45" w:rsidRPr="00E056AE">
              <w:rPr>
                <w:rFonts w:cstheme="minorHAnsi"/>
                <w:szCs w:val="22"/>
              </w:rPr>
              <w:t>Study</w:t>
            </w:r>
            <w:r w:rsidRPr="00E056AE">
              <w:rPr>
                <w:rFonts w:cstheme="minorHAnsi"/>
                <w:szCs w:val="22"/>
              </w:rPr>
              <w:t xml:space="preserve"> Period</w:t>
            </w:r>
          </w:p>
        </w:tc>
        <w:tc>
          <w:tcPr>
            <w:tcW w:w="6237" w:type="dxa"/>
          </w:tcPr>
          <w:p w14:paraId="0954CC16" w14:textId="2C8D4DEE" w:rsidR="00475FDA" w:rsidRPr="00E056AE" w:rsidRDefault="00C52FEC" w:rsidP="003802A1">
            <w:pPr>
              <w:spacing w:line="240" w:lineRule="auto"/>
              <w:rPr>
                <w:rFonts w:cstheme="minorHAnsi"/>
                <w:color w:val="0000FF"/>
                <w:szCs w:val="22"/>
              </w:rPr>
            </w:pPr>
            <w:r w:rsidRPr="00E056AE">
              <w:rPr>
                <w:rFonts w:cstheme="minorHAnsi"/>
                <w:szCs w:val="22"/>
              </w:rPr>
              <w:t xml:space="preserve">24 </w:t>
            </w:r>
            <w:r w:rsidR="000077BB" w:rsidRPr="00E056AE">
              <w:rPr>
                <w:rFonts w:cstheme="minorHAnsi"/>
                <w:szCs w:val="22"/>
              </w:rPr>
              <w:t xml:space="preserve">months </w:t>
            </w:r>
          </w:p>
        </w:tc>
      </w:tr>
      <w:tr w:rsidR="00F330BB" w:rsidRPr="00E056AE" w14:paraId="4A72BEB2" w14:textId="77777777" w:rsidTr="00A31748">
        <w:trPr>
          <w:trHeight w:val="770"/>
        </w:trPr>
        <w:tc>
          <w:tcPr>
            <w:tcW w:w="3936" w:type="dxa"/>
          </w:tcPr>
          <w:p w14:paraId="0D568A86" w14:textId="65749072" w:rsidR="00F330BB" w:rsidRPr="00E056AE" w:rsidRDefault="002D0BA5" w:rsidP="003802A1">
            <w:pPr>
              <w:spacing w:line="240" w:lineRule="auto"/>
              <w:rPr>
                <w:rFonts w:cstheme="minorHAnsi"/>
                <w:szCs w:val="22"/>
              </w:rPr>
            </w:pPr>
            <w:r w:rsidRPr="00E056AE">
              <w:rPr>
                <w:rFonts w:cstheme="minorHAnsi"/>
                <w:szCs w:val="22"/>
              </w:rPr>
              <w:t>Research Question/</w:t>
            </w:r>
            <w:r w:rsidR="006D77EB" w:rsidRPr="00E056AE">
              <w:rPr>
                <w:rFonts w:cstheme="minorHAnsi"/>
                <w:szCs w:val="22"/>
              </w:rPr>
              <w:t>Aim(s)</w:t>
            </w:r>
          </w:p>
          <w:p w14:paraId="4C0CED87" w14:textId="77777777" w:rsidR="00F330BB" w:rsidRPr="00E056AE" w:rsidRDefault="00F330BB" w:rsidP="003802A1">
            <w:pPr>
              <w:spacing w:line="240" w:lineRule="auto"/>
              <w:rPr>
                <w:rFonts w:cstheme="minorHAnsi"/>
                <w:szCs w:val="22"/>
              </w:rPr>
            </w:pPr>
          </w:p>
        </w:tc>
        <w:tc>
          <w:tcPr>
            <w:tcW w:w="6237" w:type="dxa"/>
          </w:tcPr>
          <w:p w14:paraId="4D03C637" w14:textId="5C3987A8" w:rsidR="00152B54" w:rsidRPr="00E056AE" w:rsidRDefault="00152B54" w:rsidP="003802A1">
            <w:pPr>
              <w:spacing w:line="240" w:lineRule="auto"/>
              <w:rPr>
                <w:rFonts w:cstheme="minorHAnsi"/>
                <w:szCs w:val="22"/>
              </w:rPr>
            </w:pPr>
            <w:r w:rsidRPr="00E056AE">
              <w:rPr>
                <w:rFonts w:cstheme="minorHAnsi"/>
                <w:szCs w:val="22"/>
              </w:rPr>
              <w:t>1. What are the views, experiences, and concerns of both migrant patients and health-service providers around treatment for LTBI and TB</w:t>
            </w:r>
            <w:r w:rsidR="00534D79" w:rsidRPr="00E056AE">
              <w:rPr>
                <w:rFonts w:cstheme="minorHAnsi"/>
                <w:szCs w:val="22"/>
              </w:rPr>
              <w:t>?</w:t>
            </w:r>
          </w:p>
          <w:p w14:paraId="196BF747" w14:textId="26161300" w:rsidR="00152B54" w:rsidRPr="00E056AE" w:rsidRDefault="00152B54" w:rsidP="003802A1">
            <w:pPr>
              <w:spacing w:line="240" w:lineRule="auto"/>
              <w:rPr>
                <w:rFonts w:cstheme="minorHAnsi"/>
                <w:szCs w:val="22"/>
              </w:rPr>
            </w:pPr>
            <w:r w:rsidRPr="00E056AE">
              <w:rPr>
                <w:rFonts w:cstheme="minorHAnsi"/>
                <w:szCs w:val="22"/>
              </w:rPr>
              <w:lastRenderedPageBreak/>
              <w:t>2. What are their perspectives on what constitutes ‘successful treatment’</w:t>
            </w:r>
            <w:r w:rsidR="00534D79" w:rsidRPr="00E056AE">
              <w:rPr>
                <w:rFonts w:cstheme="minorHAnsi"/>
                <w:szCs w:val="22"/>
              </w:rPr>
              <w:t>?</w:t>
            </w:r>
            <w:r w:rsidRPr="00E056AE">
              <w:rPr>
                <w:rFonts w:cstheme="minorHAnsi"/>
                <w:szCs w:val="22"/>
              </w:rPr>
              <w:t xml:space="preserve"> </w:t>
            </w:r>
          </w:p>
          <w:p w14:paraId="25A3D775" w14:textId="37E39EBF" w:rsidR="00152B54" w:rsidRPr="00E056AE" w:rsidRDefault="00152B54" w:rsidP="003802A1">
            <w:pPr>
              <w:spacing w:line="240" w:lineRule="auto"/>
              <w:rPr>
                <w:rFonts w:cstheme="minorHAnsi"/>
                <w:szCs w:val="22"/>
              </w:rPr>
            </w:pPr>
            <w:r w:rsidRPr="00E056AE">
              <w:rPr>
                <w:rFonts w:cstheme="minorHAnsi"/>
                <w:szCs w:val="22"/>
              </w:rPr>
              <w:t>3. Are there specific factors that influence ‘successful’ treatment outcomes</w:t>
            </w:r>
            <w:r w:rsidR="00534D79" w:rsidRPr="00E056AE">
              <w:rPr>
                <w:rFonts w:cstheme="minorHAnsi"/>
                <w:szCs w:val="22"/>
              </w:rPr>
              <w:t>?</w:t>
            </w:r>
          </w:p>
          <w:p w14:paraId="66C268A1" w14:textId="03979D12" w:rsidR="00152B54" w:rsidRPr="00E056AE" w:rsidRDefault="00152B54" w:rsidP="003802A1">
            <w:pPr>
              <w:spacing w:line="240" w:lineRule="auto"/>
              <w:rPr>
                <w:rFonts w:cstheme="minorHAnsi"/>
                <w:szCs w:val="22"/>
              </w:rPr>
            </w:pPr>
            <w:r w:rsidRPr="00E056AE">
              <w:rPr>
                <w:rFonts w:cstheme="minorHAnsi"/>
                <w:szCs w:val="22"/>
              </w:rPr>
              <w:t xml:space="preserve">4. </w:t>
            </w:r>
            <w:r w:rsidR="0006015E" w:rsidRPr="00E056AE">
              <w:rPr>
                <w:rFonts w:cstheme="minorHAnsi"/>
                <w:szCs w:val="22"/>
              </w:rPr>
              <w:t>W</w:t>
            </w:r>
            <w:r w:rsidRPr="00E056AE">
              <w:rPr>
                <w:rFonts w:cstheme="minorHAnsi"/>
                <w:szCs w:val="22"/>
              </w:rPr>
              <w:t>hat do participants consider targets for novel interventions designed to provide ‘successful’ treatment outcomes</w:t>
            </w:r>
            <w:r w:rsidR="00534D79" w:rsidRPr="00E056AE">
              <w:rPr>
                <w:rFonts w:cstheme="minorHAnsi"/>
                <w:szCs w:val="22"/>
              </w:rPr>
              <w:t>?</w:t>
            </w:r>
          </w:p>
          <w:p w14:paraId="2C5B6D09" w14:textId="77777777" w:rsidR="00F330BB" w:rsidRPr="00E056AE" w:rsidRDefault="00F330BB" w:rsidP="00152B54">
            <w:pPr>
              <w:spacing w:line="240" w:lineRule="auto"/>
              <w:rPr>
                <w:rFonts w:cstheme="minorHAnsi"/>
                <w:szCs w:val="22"/>
              </w:rPr>
            </w:pPr>
          </w:p>
        </w:tc>
      </w:tr>
    </w:tbl>
    <w:p w14:paraId="185F8528"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E056AE" w:rsidRDefault="00475FDA" w:rsidP="002D2D7D">
      <w:pPr>
        <w:spacing w:line="240" w:lineRule="auto"/>
        <w:rPr>
          <w:rFonts w:cstheme="minorHAnsi"/>
          <w:b/>
          <w:szCs w:val="22"/>
        </w:rPr>
      </w:pPr>
      <w:r w:rsidRPr="00E056AE">
        <w:rPr>
          <w:rFonts w:cstheme="minorHAnsi"/>
          <w:b/>
          <w:szCs w:val="22"/>
        </w:rPr>
        <w:t>FUNDING AND SUPPORT IN KIND</w:t>
      </w:r>
    </w:p>
    <w:tbl>
      <w:tblPr>
        <w:tblStyle w:val="TableGrid"/>
        <w:tblW w:w="0" w:type="auto"/>
        <w:tblLook w:val="04A0" w:firstRow="1" w:lastRow="0" w:firstColumn="1" w:lastColumn="0" w:noHBand="0" w:noVBand="1"/>
      </w:tblPr>
      <w:tblGrid>
        <w:gridCol w:w="4964"/>
        <w:gridCol w:w="4998"/>
      </w:tblGrid>
      <w:tr w:rsidR="00093582" w:rsidRPr="00E056AE" w14:paraId="41EB2007" w14:textId="77777777" w:rsidTr="0099180D">
        <w:tc>
          <w:tcPr>
            <w:tcW w:w="4964" w:type="dxa"/>
          </w:tcPr>
          <w:p w14:paraId="3C1BE6F6" w14:textId="77777777" w:rsidR="00093582" w:rsidRPr="00E056AE" w:rsidRDefault="00093582" w:rsidP="00093582">
            <w:pPr>
              <w:spacing w:line="240" w:lineRule="auto"/>
              <w:rPr>
                <w:rFonts w:cstheme="minorHAnsi"/>
                <w:b/>
                <w:szCs w:val="22"/>
              </w:rPr>
            </w:pPr>
            <w:r w:rsidRPr="00E056AE">
              <w:rPr>
                <w:rFonts w:cstheme="minorHAnsi"/>
                <w:b/>
                <w:szCs w:val="22"/>
              </w:rPr>
              <w:t>FUNDER(S)</w:t>
            </w:r>
          </w:p>
          <w:p w14:paraId="3DC8AD4B" w14:textId="130B51B4" w:rsidR="00093582" w:rsidRPr="00E056AE" w:rsidRDefault="00093582" w:rsidP="000A4DA5">
            <w:pPr>
              <w:rPr>
                <w:rFonts w:cstheme="minorHAnsi"/>
              </w:rPr>
            </w:pPr>
            <w:r w:rsidRPr="00E056AE">
              <w:rPr>
                <w:rFonts w:cstheme="minorHAnsi"/>
                <w:szCs w:val="22"/>
              </w:rPr>
              <w:t xml:space="preserve">(Names and contact details of ALL organisations providing funding and/or support in kind for this </w:t>
            </w:r>
            <w:r w:rsidR="000A4DA5" w:rsidRPr="00E056AE">
              <w:rPr>
                <w:rFonts w:cstheme="minorHAnsi"/>
                <w:szCs w:val="22"/>
              </w:rPr>
              <w:t>study</w:t>
            </w:r>
            <w:r w:rsidRPr="00E056AE">
              <w:rPr>
                <w:rFonts w:cstheme="minorHAnsi"/>
                <w:szCs w:val="22"/>
              </w:rPr>
              <w:t>)</w:t>
            </w:r>
          </w:p>
        </w:tc>
        <w:tc>
          <w:tcPr>
            <w:tcW w:w="4998" w:type="dxa"/>
          </w:tcPr>
          <w:p w14:paraId="56ACE572" w14:textId="7400EE1F" w:rsidR="00093582" w:rsidRPr="00E056AE" w:rsidRDefault="00093582" w:rsidP="00093582">
            <w:pPr>
              <w:rPr>
                <w:rFonts w:cstheme="minorHAnsi"/>
              </w:rPr>
            </w:pPr>
            <w:r w:rsidRPr="00E056AE">
              <w:rPr>
                <w:rFonts w:cstheme="minorHAnsi"/>
                <w:b/>
                <w:szCs w:val="22"/>
              </w:rPr>
              <w:t>FINANCIAL AND NON FINANCIALSUPPORT GIVEN</w:t>
            </w:r>
          </w:p>
        </w:tc>
      </w:tr>
      <w:tr w:rsidR="0099180D" w:rsidRPr="00E056AE" w14:paraId="3FBE5540" w14:textId="77777777" w:rsidTr="0099180D">
        <w:tc>
          <w:tcPr>
            <w:tcW w:w="4964" w:type="dxa"/>
          </w:tcPr>
          <w:p w14:paraId="14B0DCDD" w14:textId="75353FC3" w:rsidR="0099180D" w:rsidRPr="00E056AE" w:rsidRDefault="0099180D" w:rsidP="0099180D">
            <w:pPr>
              <w:spacing w:line="240" w:lineRule="auto"/>
              <w:rPr>
                <w:rFonts w:cstheme="minorHAnsi"/>
                <w:b/>
                <w:szCs w:val="22"/>
              </w:rPr>
            </w:pPr>
          </w:p>
        </w:tc>
        <w:tc>
          <w:tcPr>
            <w:tcW w:w="4998" w:type="dxa"/>
          </w:tcPr>
          <w:p w14:paraId="6015CF4B" w14:textId="16DC087D" w:rsidR="0099180D" w:rsidRPr="00E056AE" w:rsidRDefault="0099180D" w:rsidP="0099180D">
            <w:pPr>
              <w:rPr>
                <w:rFonts w:cstheme="minorHAnsi"/>
                <w:b/>
                <w:szCs w:val="22"/>
              </w:rPr>
            </w:pPr>
          </w:p>
        </w:tc>
      </w:tr>
      <w:tr w:rsidR="0099180D" w:rsidRPr="00E056AE" w14:paraId="30963525" w14:textId="77777777" w:rsidTr="0099180D">
        <w:tc>
          <w:tcPr>
            <w:tcW w:w="4964" w:type="dxa"/>
          </w:tcPr>
          <w:p w14:paraId="1B381608" w14:textId="77777777" w:rsidR="0099180D" w:rsidRPr="00E056AE" w:rsidRDefault="0099180D" w:rsidP="0099180D">
            <w:pPr>
              <w:spacing w:line="240" w:lineRule="auto"/>
              <w:rPr>
                <w:rFonts w:cstheme="minorHAnsi"/>
                <w:b/>
                <w:szCs w:val="22"/>
              </w:rPr>
            </w:pPr>
          </w:p>
        </w:tc>
        <w:tc>
          <w:tcPr>
            <w:tcW w:w="4998" w:type="dxa"/>
          </w:tcPr>
          <w:p w14:paraId="51B1E475" w14:textId="123E6593" w:rsidR="0099180D" w:rsidRPr="00E056AE" w:rsidRDefault="0099180D" w:rsidP="0099180D">
            <w:pPr>
              <w:rPr>
                <w:rFonts w:cstheme="minorHAnsi"/>
                <w:b/>
                <w:szCs w:val="22"/>
              </w:rPr>
            </w:pPr>
          </w:p>
        </w:tc>
      </w:tr>
      <w:tr w:rsidR="0099180D" w:rsidRPr="00E056AE" w14:paraId="3367A46F" w14:textId="77777777" w:rsidTr="0099180D">
        <w:tc>
          <w:tcPr>
            <w:tcW w:w="4964" w:type="dxa"/>
          </w:tcPr>
          <w:p w14:paraId="42528C3E" w14:textId="77777777" w:rsidR="0099180D" w:rsidRPr="00E056AE" w:rsidRDefault="0099180D" w:rsidP="0099180D">
            <w:pPr>
              <w:spacing w:line="240" w:lineRule="auto"/>
              <w:rPr>
                <w:rFonts w:cstheme="minorHAnsi"/>
                <w:b/>
                <w:szCs w:val="22"/>
              </w:rPr>
            </w:pPr>
          </w:p>
        </w:tc>
        <w:tc>
          <w:tcPr>
            <w:tcW w:w="4998" w:type="dxa"/>
          </w:tcPr>
          <w:p w14:paraId="73DAFEA3" w14:textId="5F326EAC" w:rsidR="0099180D" w:rsidRPr="00E056AE" w:rsidRDefault="0099180D" w:rsidP="0099180D">
            <w:pPr>
              <w:rPr>
                <w:rFonts w:cstheme="minorHAnsi"/>
                <w:b/>
                <w:szCs w:val="22"/>
              </w:rPr>
            </w:pPr>
          </w:p>
        </w:tc>
      </w:tr>
      <w:tr w:rsidR="00B014E1" w:rsidRPr="00E056AE" w14:paraId="241FE040" w14:textId="77777777" w:rsidTr="0099180D">
        <w:tc>
          <w:tcPr>
            <w:tcW w:w="4964" w:type="dxa"/>
          </w:tcPr>
          <w:p w14:paraId="3EB7CA34" w14:textId="77777777" w:rsidR="00B014E1" w:rsidRPr="00E056AE" w:rsidRDefault="00B014E1" w:rsidP="0099180D">
            <w:pPr>
              <w:spacing w:line="240" w:lineRule="auto"/>
              <w:rPr>
                <w:rFonts w:cstheme="minorHAnsi"/>
                <w:b/>
                <w:szCs w:val="22"/>
              </w:rPr>
            </w:pPr>
          </w:p>
        </w:tc>
        <w:tc>
          <w:tcPr>
            <w:tcW w:w="4998" w:type="dxa"/>
          </w:tcPr>
          <w:p w14:paraId="2BD4F74C" w14:textId="2CCCADDA" w:rsidR="00B014E1" w:rsidRPr="00E056AE" w:rsidRDefault="00B014E1" w:rsidP="0099180D">
            <w:pPr>
              <w:rPr>
                <w:rFonts w:cstheme="minorHAnsi"/>
                <w:b/>
                <w:szCs w:val="22"/>
              </w:rPr>
            </w:pPr>
          </w:p>
        </w:tc>
      </w:tr>
    </w:tbl>
    <w:p w14:paraId="1540776C" w14:textId="77777777" w:rsidR="00093582" w:rsidRPr="00E056AE" w:rsidRDefault="00093582" w:rsidP="00093582">
      <w:pPr>
        <w:rPr>
          <w:rFonts w:cstheme="minorHAnsi"/>
        </w:rPr>
      </w:pPr>
    </w:p>
    <w:p w14:paraId="0CB3B500"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E056AE" w:rsidRDefault="00475FDA" w:rsidP="002D2D7D">
      <w:pPr>
        <w:spacing w:line="240" w:lineRule="auto"/>
        <w:rPr>
          <w:rFonts w:cstheme="minorHAnsi"/>
          <w:b/>
          <w:szCs w:val="22"/>
        </w:rPr>
      </w:pPr>
      <w:r w:rsidRPr="00E056AE">
        <w:rPr>
          <w:rFonts w:cstheme="minorHAnsi"/>
          <w:b/>
          <w:szCs w:val="22"/>
        </w:rPr>
        <w:t>ROLE OF STUDY SPONSOR AND FUNDER</w:t>
      </w:r>
    </w:p>
    <w:p w14:paraId="3D7FD49E" w14:textId="6502B612" w:rsidR="002B369C" w:rsidRPr="00E056AE" w:rsidRDefault="002B369C" w:rsidP="003802A1">
      <w:pPr>
        <w:autoSpaceDE w:val="0"/>
        <w:autoSpaceDN w:val="0"/>
        <w:adjustRightInd w:val="0"/>
        <w:spacing w:line="240" w:lineRule="auto"/>
        <w:rPr>
          <w:rFonts w:cstheme="minorHAnsi"/>
          <w:szCs w:val="22"/>
        </w:rPr>
      </w:pPr>
      <w:r w:rsidRPr="00E056AE">
        <w:rPr>
          <w:rFonts w:cstheme="minorHAnsi"/>
          <w:szCs w:val="22"/>
        </w:rPr>
        <w:t>The sponsor and funder have no control over the design, conduct, analysis or interpretation of any data gathered. The Chief Investigator and study team hold the sole responsibility for decision to publish and disseminate results generated by this research.</w:t>
      </w:r>
    </w:p>
    <w:p w14:paraId="62534C8E" w14:textId="77777777" w:rsidR="002D2D7D" w:rsidRPr="00E056AE"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E056AE" w:rsidRDefault="00475FDA" w:rsidP="002D2D7D">
      <w:pPr>
        <w:spacing w:line="240" w:lineRule="auto"/>
        <w:rPr>
          <w:rFonts w:cstheme="minorHAnsi"/>
          <w:b/>
        </w:rPr>
      </w:pPr>
      <w:r w:rsidRPr="00E056AE">
        <w:rPr>
          <w:rFonts w:cstheme="minorHAnsi"/>
          <w:b/>
        </w:rPr>
        <w:t xml:space="preserve">ROLES AND RESPONSIBILITIES OF </w:t>
      </w:r>
      <w:r w:rsidR="000A4DA5" w:rsidRPr="00E056AE">
        <w:rPr>
          <w:rFonts w:cstheme="minorHAnsi"/>
          <w:b/>
        </w:rPr>
        <w:t>STUDY</w:t>
      </w:r>
      <w:r w:rsidRPr="00E056AE">
        <w:rPr>
          <w:rFonts w:cstheme="minorHAnsi"/>
          <w:b/>
        </w:rPr>
        <w:t xml:space="preserve"> MANAGEMENT COMMITEES/GROUPS &amp; INDIVIDUALS</w:t>
      </w:r>
    </w:p>
    <w:p w14:paraId="5E413F88" w14:textId="1B9A9E32" w:rsidR="00475FDA" w:rsidRPr="00E056AE" w:rsidRDefault="000A4DA5" w:rsidP="00093582">
      <w:pPr>
        <w:autoSpaceDE w:val="0"/>
        <w:autoSpaceDN w:val="0"/>
        <w:adjustRightInd w:val="0"/>
        <w:spacing w:line="240" w:lineRule="auto"/>
        <w:rPr>
          <w:rFonts w:cstheme="minorHAnsi"/>
          <w:b/>
          <w:color w:val="0000FF"/>
          <w:szCs w:val="22"/>
          <w:lang w:eastAsia="en-GB"/>
        </w:rPr>
      </w:pPr>
      <w:r w:rsidRPr="00E056AE">
        <w:rPr>
          <w:rFonts w:cstheme="minorHAnsi"/>
          <w:b/>
          <w:color w:val="0000FF"/>
          <w:szCs w:val="22"/>
          <w:lang w:eastAsia="en-GB"/>
        </w:rPr>
        <w:t>Study</w:t>
      </w:r>
      <w:r w:rsidR="00475FDA" w:rsidRPr="00E056AE">
        <w:rPr>
          <w:rFonts w:cstheme="minorHAnsi"/>
          <w:b/>
          <w:color w:val="0000FF"/>
          <w:szCs w:val="22"/>
          <w:lang w:eastAsia="en-GB"/>
        </w:rPr>
        <w:t xml:space="preserve"> </w:t>
      </w:r>
      <w:r w:rsidRPr="00E056AE">
        <w:rPr>
          <w:rFonts w:cstheme="minorHAnsi"/>
          <w:b/>
          <w:color w:val="0000FF"/>
          <w:szCs w:val="22"/>
          <w:lang w:eastAsia="en-GB"/>
        </w:rPr>
        <w:t>Steering Groups</w:t>
      </w:r>
    </w:p>
    <w:p w14:paraId="12F2E533" w14:textId="3859F79E" w:rsidR="00475FDA" w:rsidRPr="00E056AE"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E056AE">
        <w:rPr>
          <w:rFonts w:asciiTheme="minorHAnsi" w:hAnsiTheme="minorHAnsi" w:cstheme="minorHAnsi"/>
          <w:color w:val="0000FF"/>
          <w:sz w:val="22"/>
          <w:szCs w:val="22"/>
        </w:rPr>
        <w:t xml:space="preserve">Aim: To outline </w:t>
      </w:r>
      <w:r w:rsidR="00997241" w:rsidRPr="00E056AE">
        <w:rPr>
          <w:rFonts w:asciiTheme="minorHAnsi" w:hAnsiTheme="minorHAnsi" w:cstheme="minorHAnsi"/>
          <w:color w:val="0000FF"/>
          <w:sz w:val="22"/>
          <w:szCs w:val="22"/>
        </w:rPr>
        <w:t>any</w:t>
      </w:r>
      <w:r w:rsidRPr="00E056AE">
        <w:rPr>
          <w:rFonts w:asciiTheme="minorHAnsi" w:hAnsiTheme="minorHAnsi" w:cstheme="minorHAnsi"/>
          <w:color w:val="0000FF"/>
          <w:sz w:val="22"/>
          <w:szCs w:val="22"/>
        </w:rPr>
        <w:t xml:space="preserve"> committees or groups involved in</w:t>
      </w:r>
      <w:r w:rsidR="000A4DA5" w:rsidRPr="00E056AE">
        <w:rPr>
          <w:rFonts w:asciiTheme="minorHAnsi" w:hAnsiTheme="minorHAnsi" w:cstheme="minorHAnsi"/>
          <w:color w:val="0000FF"/>
          <w:sz w:val="22"/>
          <w:szCs w:val="22"/>
        </w:rPr>
        <w:t xml:space="preserve"> study</w:t>
      </w:r>
      <w:r w:rsidRPr="00E056AE">
        <w:rPr>
          <w:rFonts w:asciiTheme="minorHAnsi" w:hAnsiTheme="minorHAnsi" w:cstheme="minorHAnsi"/>
          <w:color w:val="0000FF"/>
          <w:sz w:val="22"/>
          <w:szCs w:val="22"/>
        </w:rPr>
        <w:t xml:space="preserve"> coordination and conduct. </w:t>
      </w:r>
    </w:p>
    <w:p w14:paraId="0667301B" w14:textId="29230BEB" w:rsidR="00475FDA" w:rsidRPr="00E056AE"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E056AE">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E056AE" w:rsidRDefault="002D1722" w:rsidP="001406ED">
      <w:pPr>
        <w:pStyle w:val="EndnoteText"/>
        <w:numPr>
          <w:ilvl w:val="0"/>
          <w:numId w:val="12"/>
        </w:numPr>
        <w:tabs>
          <w:tab w:val="left" w:pos="817"/>
          <w:tab w:val="left" w:pos="9603"/>
        </w:tabs>
        <w:suppressAutoHyphens/>
        <w:spacing w:after="120"/>
        <w:rPr>
          <w:rFonts w:asciiTheme="minorHAnsi" w:hAnsiTheme="minorHAnsi" w:cstheme="minorHAnsi"/>
          <w:color w:val="0000FF"/>
          <w:sz w:val="22"/>
          <w:szCs w:val="22"/>
        </w:rPr>
      </w:pPr>
      <w:r w:rsidRPr="00E056AE">
        <w:rPr>
          <w:rFonts w:asciiTheme="minorHAnsi" w:hAnsiTheme="minorHAnsi" w:cstheme="minorHAnsi"/>
          <w:color w:val="0000FF"/>
          <w:sz w:val="22"/>
          <w:szCs w:val="22"/>
        </w:rPr>
        <w:t xml:space="preserve">Patient &amp; </w:t>
      </w:r>
      <w:r w:rsidR="00090DDB" w:rsidRPr="00E056AE">
        <w:rPr>
          <w:rFonts w:asciiTheme="minorHAnsi" w:hAnsiTheme="minorHAnsi" w:cstheme="minorHAnsi"/>
          <w:color w:val="0000FF"/>
          <w:sz w:val="22"/>
          <w:szCs w:val="22"/>
        </w:rPr>
        <w:t>P</w:t>
      </w:r>
      <w:r w:rsidR="00826F5E" w:rsidRPr="00E056AE">
        <w:rPr>
          <w:rFonts w:asciiTheme="minorHAnsi" w:hAnsiTheme="minorHAnsi" w:cstheme="minorHAnsi"/>
          <w:color w:val="0000FF"/>
          <w:sz w:val="22"/>
          <w:szCs w:val="22"/>
        </w:rPr>
        <w:t>ublic</w:t>
      </w:r>
      <w:r w:rsidR="00090DDB" w:rsidRPr="00E056AE">
        <w:rPr>
          <w:rFonts w:asciiTheme="minorHAnsi" w:hAnsiTheme="minorHAnsi" w:cstheme="minorHAnsi"/>
          <w:color w:val="0000FF"/>
          <w:sz w:val="22"/>
          <w:szCs w:val="22"/>
        </w:rPr>
        <w:t xml:space="preserve"> Involvement Group</w:t>
      </w:r>
    </w:p>
    <w:p w14:paraId="051EFF78" w14:textId="79FC9578" w:rsidR="00D56745" w:rsidRPr="00E056AE"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E056AE">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E056AE"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r w:rsidRPr="00E056AE">
        <w:rPr>
          <w:rFonts w:asciiTheme="minorHAnsi" w:hAnsiTheme="minorHAnsi" w:cstheme="minorHAnsi"/>
          <w:color w:val="0000FF"/>
          <w:sz w:val="22"/>
          <w:szCs w:val="22"/>
        </w:rPr>
        <w:lastRenderedPageBreak/>
        <w:t xml:space="preserve">delays in approvals. </w:t>
      </w:r>
      <w:r w:rsidR="00826F5E" w:rsidRPr="00E056AE">
        <w:rPr>
          <w:rFonts w:asciiTheme="minorHAnsi" w:hAnsiTheme="minorHAnsi" w:cstheme="minorHAnsi"/>
          <w:color w:val="0000FF"/>
          <w:sz w:val="22"/>
          <w:szCs w:val="22"/>
        </w:rPr>
        <w:t xml:space="preserve">Public </w:t>
      </w:r>
      <w:r w:rsidRPr="00E056AE">
        <w:rPr>
          <w:rFonts w:asciiTheme="minorHAnsi" w:hAnsiTheme="minorHAnsi" w:cstheme="minorHAnsi"/>
          <w:color w:val="0000FF"/>
          <w:sz w:val="22"/>
          <w:szCs w:val="22"/>
        </w:rPr>
        <w:t>involvement in study design and study documentation can help with the acceptability of a study to the public</w:t>
      </w:r>
      <w:r w:rsidR="00826F5E" w:rsidRPr="00E056AE">
        <w:rPr>
          <w:rFonts w:asciiTheme="minorHAnsi" w:hAnsiTheme="minorHAnsi" w:cstheme="minorHAnsi"/>
          <w:color w:val="0000FF"/>
          <w:sz w:val="22"/>
          <w:szCs w:val="22"/>
        </w:rPr>
        <w:t xml:space="preserve"> which in turn</w:t>
      </w:r>
      <w:r w:rsidRPr="00E056AE">
        <w:rPr>
          <w:rFonts w:asciiTheme="minorHAnsi" w:hAnsiTheme="minorHAnsi" w:cstheme="minorHAnsi"/>
          <w:color w:val="0000FF"/>
          <w:sz w:val="22"/>
          <w:szCs w:val="22"/>
        </w:rPr>
        <w:t xml:space="preserve"> can assist</w:t>
      </w:r>
      <w:r w:rsidR="00826F5E" w:rsidRPr="00E056AE">
        <w:rPr>
          <w:rFonts w:asciiTheme="minorHAnsi" w:hAnsiTheme="minorHAnsi" w:cstheme="minorHAnsi"/>
          <w:color w:val="0000FF"/>
          <w:sz w:val="22"/>
          <w:szCs w:val="22"/>
        </w:rPr>
        <w:t xml:space="preserve"> with</w:t>
      </w:r>
      <w:r w:rsidRPr="00E056AE">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E056AE"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E056AE"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E056AE">
        <w:rPr>
          <w:rFonts w:asciiTheme="minorHAnsi" w:hAnsiTheme="minorHAnsi" w:cstheme="minorHAnsi"/>
          <w:color w:val="0000FF"/>
          <w:sz w:val="22"/>
          <w:szCs w:val="22"/>
        </w:rPr>
        <w:t xml:space="preserve">For guidance on </w:t>
      </w:r>
      <w:r w:rsidR="002D1722" w:rsidRPr="00E056AE">
        <w:rPr>
          <w:rFonts w:asciiTheme="minorHAnsi" w:hAnsiTheme="minorHAnsi" w:cstheme="minorHAnsi"/>
          <w:color w:val="0000FF"/>
          <w:sz w:val="22"/>
          <w:szCs w:val="22"/>
        </w:rPr>
        <w:t xml:space="preserve">Patient &amp; </w:t>
      </w:r>
      <w:r w:rsidR="00997241" w:rsidRPr="00E056AE">
        <w:rPr>
          <w:rFonts w:asciiTheme="minorHAnsi" w:hAnsiTheme="minorHAnsi" w:cstheme="minorHAnsi"/>
          <w:color w:val="0000FF"/>
          <w:sz w:val="22"/>
          <w:szCs w:val="22"/>
        </w:rPr>
        <w:t>Public Involvement</w:t>
      </w:r>
      <w:r w:rsidRPr="00E056AE">
        <w:rPr>
          <w:rFonts w:asciiTheme="minorHAnsi" w:hAnsiTheme="minorHAnsi" w:cstheme="minorHAnsi"/>
          <w:color w:val="0000FF"/>
          <w:sz w:val="22"/>
          <w:szCs w:val="22"/>
        </w:rPr>
        <w:t xml:space="preserve"> follow this link:</w:t>
      </w:r>
    </w:p>
    <w:p w14:paraId="16FEADAD" w14:textId="77777777" w:rsidR="00826F5E" w:rsidRPr="00E056AE"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E056AE"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E056AE">
        <w:rPr>
          <w:rFonts w:asciiTheme="minorHAnsi" w:hAnsiTheme="minorHAnsi" w:cstheme="minorHAnsi"/>
          <w:color w:val="0000FF"/>
          <w:sz w:val="22"/>
          <w:szCs w:val="22"/>
        </w:rPr>
        <w:t>http://www.invo.org.uk/find-out-more/information-for-researchers/</w:t>
      </w:r>
    </w:p>
    <w:p w14:paraId="77C794E5" w14:textId="77777777" w:rsidR="00D56745" w:rsidRPr="00E056AE"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E056AE"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Pr="00E056AE" w:rsidRDefault="003802A1">
      <w:pPr>
        <w:spacing w:after="0" w:line="240" w:lineRule="auto"/>
        <w:rPr>
          <w:rFonts w:eastAsia="Times New Roman" w:cstheme="minorHAnsi"/>
          <w:b/>
          <w:color w:val="0000FF"/>
          <w:szCs w:val="22"/>
        </w:rPr>
      </w:pPr>
      <w:r w:rsidRPr="00E056AE">
        <w:rPr>
          <w:rFonts w:cstheme="minorHAnsi"/>
          <w:b/>
          <w:color w:val="0000FF"/>
          <w:szCs w:val="22"/>
        </w:rPr>
        <w:br w:type="page"/>
      </w:r>
    </w:p>
    <w:p w14:paraId="76157DD5" w14:textId="0E197C8A" w:rsidR="00475FDA" w:rsidRPr="00E056AE"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E056AE">
        <w:rPr>
          <w:rFonts w:asciiTheme="minorHAnsi" w:hAnsiTheme="minorHAnsi" w:cstheme="minorHAnsi"/>
          <w:b/>
          <w:sz w:val="22"/>
          <w:szCs w:val="22"/>
        </w:rPr>
        <w:lastRenderedPageBreak/>
        <w:t>P</w:t>
      </w:r>
      <w:r w:rsidR="004140B8" w:rsidRPr="00E056AE">
        <w:rPr>
          <w:rFonts w:asciiTheme="minorHAnsi" w:hAnsiTheme="minorHAnsi" w:cstheme="minorHAnsi"/>
          <w:b/>
          <w:sz w:val="22"/>
          <w:szCs w:val="22"/>
        </w:rPr>
        <w:t>ROTOCOL CONTRIBUTORS</w:t>
      </w:r>
    </w:p>
    <w:p w14:paraId="00BC49F2" w14:textId="5B9E393B" w:rsidR="00B1300D" w:rsidRPr="00E056AE" w:rsidRDefault="00B1300D" w:rsidP="003802A1">
      <w:pPr>
        <w:pStyle w:val="EndnoteText"/>
        <w:tabs>
          <w:tab w:val="left" w:pos="817"/>
          <w:tab w:val="left" w:pos="9603"/>
        </w:tabs>
        <w:suppressAutoHyphens/>
        <w:spacing w:after="120"/>
        <w:rPr>
          <w:rFonts w:asciiTheme="minorHAnsi" w:hAnsiTheme="minorHAnsi" w:cstheme="minorHAnsi"/>
          <w:sz w:val="22"/>
          <w:szCs w:val="22"/>
        </w:rPr>
      </w:pPr>
      <w:r w:rsidRPr="00E056AE">
        <w:rPr>
          <w:rFonts w:asciiTheme="minorHAnsi" w:hAnsiTheme="minorHAnsi" w:cstheme="minorHAnsi"/>
          <w:sz w:val="22"/>
          <w:szCs w:val="22"/>
        </w:rPr>
        <w:t>The sponsor and funders have no role in the design, conduct, data analysis and interpretation, manuscript writing and dissemination of results. The final decision regarding all aspects of the research, as well as the decision to disseminate results lies solely with the research team outlined above.</w:t>
      </w:r>
    </w:p>
    <w:p w14:paraId="14BFB8E3" w14:textId="77777777" w:rsidR="00475FDA" w:rsidRPr="00E056AE"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E056AE" w14:paraId="5AC828C4" w14:textId="77777777" w:rsidTr="00475FDA">
        <w:trPr>
          <w:trHeight w:val="138"/>
        </w:trPr>
        <w:tc>
          <w:tcPr>
            <w:tcW w:w="3708" w:type="dxa"/>
          </w:tcPr>
          <w:p w14:paraId="39E61344" w14:textId="77777777"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E056AE">
              <w:rPr>
                <w:rFonts w:cstheme="minorHAnsi"/>
                <w:b/>
                <w:szCs w:val="22"/>
              </w:rPr>
              <w:t>KEY WORDS:</w:t>
            </w:r>
          </w:p>
        </w:tc>
        <w:tc>
          <w:tcPr>
            <w:tcW w:w="5894" w:type="dxa"/>
          </w:tcPr>
          <w:p w14:paraId="39A18DCC" w14:textId="7FC0E8E5" w:rsidR="0099180D" w:rsidRPr="00E056AE" w:rsidRDefault="0099180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E056AE">
              <w:rPr>
                <w:rFonts w:cstheme="minorHAnsi"/>
                <w:b/>
                <w:i/>
                <w:szCs w:val="22"/>
              </w:rPr>
              <w:t>Latent Tuberculosis</w:t>
            </w:r>
          </w:p>
          <w:p w14:paraId="16A02C32" w14:textId="04F4AD1B" w:rsidR="00ED36F0" w:rsidRPr="00E056AE" w:rsidRDefault="00ED36F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E056AE">
              <w:rPr>
                <w:rFonts w:cstheme="minorHAnsi"/>
                <w:b/>
                <w:i/>
                <w:szCs w:val="22"/>
              </w:rPr>
              <w:t>Tuberculosis</w:t>
            </w:r>
          </w:p>
          <w:p w14:paraId="31B0D2DE" w14:textId="6B9382DA" w:rsidR="00ED36F0" w:rsidRPr="00E056AE" w:rsidRDefault="00ED36F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E056AE">
              <w:rPr>
                <w:rFonts w:cstheme="minorHAnsi"/>
                <w:b/>
                <w:i/>
                <w:szCs w:val="22"/>
              </w:rPr>
              <w:t>Patient and provider experience</w:t>
            </w:r>
          </w:p>
          <w:p w14:paraId="150FDE5B" w14:textId="605DDFFA" w:rsidR="003B38C0" w:rsidRPr="00E056AE" w:rsidRDefault="003B38C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E056AE">
              <w:rPr>
                <w:rFonts w:cstheme="minorHAnsi"/>
                <w:b/>
                <w:i/>
                <w:szCs w:val="22"/>
              </w:rPr>
              <w:t>Treatment outcomes</w:t>
            </w:r>
          </w:p>
          <w:p w14:paraId="04EFBC7A" w14:textId="71487C6E" w:rsidR="00ED36F0" w:rsidRPr="00E056AE" w:rsidRDefault="00ED36F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i/>
                <w:szCs w:val="22"/>
              </w:rPr>
            </w:pPr>
            <w:r w:rsidRPr="00E056AE">
              <w:rPr>
                <w:rFonts w:cstheme="minorHAnsi"/>
                <w:b/>
                <w:i/>
                <w:szCs w:val="22"/>
              </w:rPr>
              <w:t>Qualitative study</w:t>
            </w:r>
          </w:p>
          <w:p w14:paraId="04DA6B8B" w14:textId="78930661" w:rsidR="00534D79" w:rsidRPr="00E056AE" w:rsidRDefault="00534D7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E056AE">
              <w:rPr>
                <w:rFonts w:cstheme="minorHAnsi"/>
                <w:b/>
                <w:i/>
                <w:szCs w:val="22"/>
              </w:rPr>
              <w:t>Migrant</w:t>
            </w:r>
          </w:p>
          <w:p w14:paraId="40D03590" w14:textId="77777777" w:rsidR="00ED36F0" w:rsidRPr="00E056AE" w:rsidRDefault="00ED36F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4A7DE507" w14:textId="031F1E90"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tc>
      </w:tr>
    </w:tbl>
    <w:p w14:paraId="651514A6" w14:textId="77777777" w:rsidR="00475FDA" w:rsidRPr="00E056AE" w:rsidRDefault="00475FDA" w:rsidP="003802A1">
      <w:pPr>
        <w:spacing w:line="240" w:lineRule="auto"/>
        <w:rPr>
          <w:rFonts w:cstheme="minorHAnsi"/>
          <w:szCs w:val="22"/>
        </w:rPr>
      </w:pPr>
    </w:p>
    <w:p w14:paraId="288561C6" w14:textId="7B1D5A71" w:rsidR="00BA30DF" w:rsidRPr="00E056AE" w:rsidRDefault="00236B04" w:rsidP="00B1300D">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 xml:space="preserve">STUDY </w:t>
      </w:r>
      <w:r w:rsidR="00475FDA" w:rsidRPr="00E056AE">
        <w:rPr>
          <w:rFonts w:asciiTheme="minorHAnsi" w:hAnsiTheme="minorHAnsi" w:cstheme="minorHAnsi"/>
          <w:color w:val="auto"/>
          <w:sz w:val="22"/>
          <w:szCs w:val="22"/>
        </w:rPr>
        <w:t>FLOW CHART</w:t>
      </w:r>
    </w:p>
    <w:tbl>
      <w:tblPr>
        <w:tblW w:w="10900" w:type="dxa"/>
        <w:tblInd w:w="108" w:type="dxa"/>
        <w:tblLook w:val="04A0" w:firstRow="1" w:lastRow="0" w:firstColumn="1" w:lastColumn="0" w:noHBand="0" w:noVBand="1"/>
      </w:tblPr>
      <w:tblGrid>
        <w:gridCol w:w="5140"/>
        <w:gridCol w:w="960"/>
        <w:gridCol w:w="960"/>
        <w:gridCol w:w="960"/>
        <w:gridCol w:w="960"/>
        <w:gridCol w:w="960"/>
        <w:gridCol w:w="960"/>
      </w:tblGrid>
      <w:tr w:rsidR="009F6885" w:rsidRPr="00E056AE" w14:paraId="182F9CA9" w14:textId="77777777" w:rsidTr="009F6885">
        <w:trPr>
          <w:trHeight w:val="300"/>
        </w:trPr>
        <w:tc>
          <w:tcPr>
            <w:tcW w:w="5140" w:type="dxa"/>
            <w:tcBorders>
              <w:top w:val="nil"/>
              <w:left w:val="nil"/>
              <w:bottom w:val="nil"/>
              <w:right w:val="nil"/>
            </w:tcBorders>
            <w:shd w:val="clear" w:color="auto" w:fill="auto"/>
            <w:noWrap/>
            <w:vAlign w:val="bottom"/>
            <w:hideMark/>
          </w:tcPr>
          <w:p w14:paraId="7ECB3480" w14:textId="77777777" w:rsidR="009F6885" w:rsidRPr="00E056AE" w:rsidRDefault="009F6885" w:rsidP="009F6885">
            <w:pPr>
              <w:spacing w:after="0" w:line="240" w:lineRule="auto"/>
              <w:rPr>
                <w:rFonts w:eastAsia="Times New Roman" w:cstheme="minorHAnsi"/>
                <w:sz w:val="20"/>
                <w:lang w:eastAsia="en-GB"/>
              </w:rPr>
            </w:pPr>
          </w:p>
        </w:tc>
        <w:tc>
          <w:tcPr>
            <w:tcW w:w="5760" w:type="dxa"/>
            <w:gridSpan w:val="6"/>
            <w:tcBorders>
              <w:top w:val="nil"/>
              <w:left w:val="nil"/>
              <w:bottom w:val="nil"/>
              <w:right w:val="nil"/>
            </w:tcBorders>
            <w:shd w:val="clear" w:color="auto" w:fill="auto"/>
            <w:noWrap/>
            <w:vAlign w:val="bottom"/>
            <w:hideMark/>
          </w:tcPr>
          <w:p w14:paraId="54A9FBD9" w14:textId="230328CA" w:rsidR="009F6885" w:rsidRPr="00E056AE" w:rsidRDefault="005F18B5"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 xml:space="preserve">Progress by </w:t>
            </w:r>
            <w:r w:rsidR="009F6885" w:rsidRPr="00E056AE">
              <w:rPr>
                <w:rFonts w:eastAsia="Times New Roman" w:cstheme="minorHAnsi"/>
                <w:color w:val="000000"/>
                <w:szCs w:val="22"/>
                <w:lang w:eastAsia="en-GB"/>
              </w:rPr>
              <w:t>Month</w:t>
            </w:r>
          </w:p>
        </w:tc>
      </w:tr>
      <w:tr w:rsidR="009F6885" w:rsidRPr="00E056AE" w14:paraId="2941C812" w14:textId="77777777" w:rsidTr="009F6885">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B74A" w14:textId="77777777" w:rsidR="009F6885" w:rsidRPr="00E056AE" w:rsidRDefault="009F6885" w:rsidP="009F6885">
            <w:pPr>
              <w:spacing w:after="0" w:line="240" w:lineRule="auto"/>
              <w:rPr>
                <w:rFonts w:eastAsia="Times New Roman" w:cstheme="minorHAnsi"/>
                <w:color w:val="000000"/>
                <w:szCs w:val="22"/>
                <w:lang w:eastAsia="en-GB"/>
              </w:rPr>
            </w:pPr>
            <w:r w:rsidRPr="00E056AE">
              <w:rPr>
                <w:rFonts w:eastAsia="Times New Roman" w:cstheme="minorHAnsi"/>
                <w:color w:val="000000"/>
                <w:szCs w:val="22"/>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25197F0E" w14:textId="614EB2FA"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5E2C0896" w14:textId="44D3FC4C"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8</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5A524DCA" w14:textId="0D1D170E"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12</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27F1C6C" w14:textId="2DCFB75A"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16</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1720D24" w14:textId="6BBD8973"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D082" w14:textId="685D4A6D" w:rsidR="009F6885" w:rsidRPr="00E056AE" w:rsidRDefault="00C52FEC"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24</w:t>
            </w:r>
          </w:p>
        </w:tc>
      </w:tr>
      <w:tr w:rsidR="009F6885" w:rsidRPr="00E056AE" w14:paraId="74EED699" w14:textId="77777777" w:rsidTr="00FC7D33">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5BA52C66" w14:textId="77777777" w:rsidR="009F6885" w:rsidRPr="00E056AE" w:rsidRDefault="009F6885" w:rsidP="009F6885">
            <w:pPr>
              <w:spacing w:after="0" w:line="240" w:lineRule="auto"/>
              <w:rPr>
                <w:rFonts w:eastAsia="Times New Roman" w:cstheme="minorHAnsi"/>
                <w:b/>
                <w:bCs/>
                <w:i/>
                <w:iCs/>
                <w:color w:val="000000"/>
                <w:szCs w:val="22"/>
                <w:lang w:eastAsia="en-GB"/>
              </w:rPr>
            </w:pPr>
            <w:r w:rsidRPr="00E056AE">
              <w:rPr>
                <w:rFonts w:eastAsia="Times New Roman" w:cstheme="minorHAnsi"/>
                <w:b/>
                <w:bCs/>
                <w:i/>
                <w:iCs/>
                <w:color w:val="000000"/>
                <w:szCs w:val="22"/>
                <w:lang w:eastAsia="en-GB"/>
              </w:rPr>
              <w:t>Patient and staff recruitment</w:t>
            </w:r>
          </w:p>
        </w:tc>
        <w:tc>
          <w:tcPr>
            <w:tcW w:w="960" w:type="dxa"/>
            <w:tcBorders>
              <w:top w:val="nil"/>
              <w:left w:val="nil"/>
              <w:bottom w:val="nil"/>
              <w:right w:val="nil"/>
            </w:tcBorders>
            <w:shd w:val="clear" w:color="auto" w:fill="E36C0A" w:themeFill="accent6" w:themeFillShade="BF"/>
            <w:noWrap/>
            <w:vAlign w:val="bottom"/>
            <w:hideMark/>
          </w:tcPr>
          <w:p w14:paraId="6AA51CAE"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E36C0A" w:themeFill="accent6" w:themeFillShade="BF"/>
            <w:noWrap/>
            <w:vAlign w:val="bottom"/>
            <w:hideMark/>
          </w:tcPr>
          <w:p w14:paraId="5B4A3CA4"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E36C0A" w:themeFill="accent6" w:themeFillShade="BF"/>
            <w:noWrap/>
            <w:vAlign w:val="bottom"/>
            <w:hideMark/>
          </w:tcPr>
          <w:p w14:paraId="4A053BF7"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auto"/>
            <w:noWrap/>
            <w:vAlign w:val="bottom"/>
            <w:hideMark/>
          </w:tcPr>
          <w:p w14:paraId="45DA4B25"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auto" w:fill="auto"/>
            <w:noWrap/>
            <w:vAlign w:val="bottom"/>
            <w:hideMark/>
          </w:tcPr>
          <w:p w14:paraId="6281B12B"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24769996"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r>
      <w:tr w:rsidR="009F6885" w:rsidRPr="00E056AE" w14:paraId="2BFFD193" w14:textId="77777777" w:rsidTr="00FC7D33">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09AB93E3" w14:textId="77777777" w:rsidR="009F6885" w:rsidRPr="00E056AE" w:rsidRDefault="009F6885" w:rsidP="009F6885">
            <w:pPr>
              <w:spacing w:after="0" w:line="240" w:lineRule="auto"/>
              <w:rPr>
                <w:rFonts w:eastAsia="Times New Roman" w:cstheme="minorHAnsi"/>
                <w:b/>
                <w:bCs/>
                <w:i/>
                <w:iCs/>
                <w:color w:val="000000"/>
                <w:szCs w:val="22"/>
                <w:lang w:eastAsia="en-GB"/>
              </w:rPr>
            </w:pPr>
            <w:r w:rsidRPr="00E056AE">
              <w:rPr>
                <w:rFonts w:eastAsia="Times New Roman" w:cstheme="minorHAnsi"/>
                <w:b/>
                <w:bCs/>
                <w:i/>
                <w:iCs/>
                <w:color w:val="000000"/>
                <w:szCs w:val="22"/>
                <w:lang w:eastAsia="en-GB"/>
              </w:rPr>
              <w:t>Interviews and focus groups</w:t>
            </w:r>
          </w:p>
        </w:tc>
        <w:tc>
          <w:tcPr>
            <w:tcW w:w="960" w:type="dxa"/>
            <w:tcBorders>
              <w:top w:val="nil"/>
              <w:left w:val="nil"/>
              <w:bottom w:val="nil"/>
              <w:right w:val="nil"/>
            </w:tcBorders>
            <w:shd w:val="clear" w:color="auto" w:fill="E36C0A" w:themeFill="accent6" w:themeFillShade="BF"/>
            <w:noWrap/>
            <w:vAlign w:val="bottom"/>
            <w:hideMark/>
          </w:tcPr>
          <w:p w14:paraId="165518F3" w14:textId="7194FF9A"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r w:rsidR="00FC7D33"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E36C0A" w:themeFill="accent6" w:themeFillShade="BF"/>
            <w:noWrap/>
            <w:vAlign w:val="bottom"/>
            <w:hideMark/>
          </w:tcPr>
          <w:p w14:paraId="59AADF91"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E36C0A" w:themeFill="accent6" w:themeFillShade="BF"/>
            <w:noWrap/>
            <w:vAlign w:val="bottom"/>
            <w:hideMark/>
          </w:tcPr>
          <w:p w14:paraId="0B4FADD9"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E36C0A" w:themeFill="accent6" w:themeFillShade="BF"/>
            <w:noWrap/>
            <w:vAlign w:val="bottom"/>
            <w:hideMark/>
          </w:tcPr>
          <w:p w14:paraId="0ACD0E17"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auto"/>
            <w:noWrap/>
            <w:vAlign w:val="bottom"/>
            <w:hideMark/>
          </w:tcPr>
          <w:p w14:paraId="77A23AEE"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25BBAD9B"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r>
      <w:tr w:rsidR="009F6885" w:rsidRPr="00E056AE" w14:paraId="10C2A3BA" w14:textId="77777777" w:rsidTr="00B65A63">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1017CC12" w14:textId="77777777" w:rsidR="009F6885" w:rsidRPr="00E056AE" w:rsidRDefault="009F6885" w:rsidP="009F6885">
            <w:pPr>
              <w:spacing w:after="0" w:line="240" w:lineRule="auto"/>
              <w:rPr>
                <w:rFonts w:eastAsia="Times New Roman" w:cstheme="minorHAnsi"/>
                <w:b/>
                <w:bCs/>
                <w:i/>
                <w:iCs/>
                <w:color w:val="000000"/>
                <w:szCs w:val="22"/>
                <w:lang w:eastAsia="en-GB"/>
              </w:rPr>
            </w:pPr>
            <w:r w:rsidRPr="00E056AE">
              <w:rPr>
                <w:rFonts w:eastAsia="Times New Roman" w:cstheme="minorHAnsi"/>
                <w:b/>
                <w:bCs/>
                <w:i/>
                <w:iCs/>
                <w:color w:val="000000"/>
                <w:szCs w:val="22"/>
                <w:lang w:eastAsia="en-GB"/>
              </w:rPr>
              <w:t>Transcription of Interviews and focus groups</w:t>
            </w:r>
          </w:p>
        </w:tc>
        <w:tc>
          <w:tcPr>
            <w:tcW w:w="960" w:type="dxa"/>
            <w:tcBorders>
              <w:top w:val="nil"/>
              <w:left w:val="nil"/>
              <w:bottom w:val="nil"/>
              <w:right w:val="nil"/>
            </w:tcBorders>
            <w:shd w:val="clear" w:color="auto" w:fill="auto"/>
            <w:noWrap/>
            <w:vAlign w:val="bottom"/>
            <w:hideMark/>
          </w:tcPr>
          <w:p w14:paraId="7BFC95F1"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000000" w:fill="5B9BD5"/>
            <w:noWrap/>
            <w:vAlign w:val="bottom"/>
            <w:hideMark/>
          </w:tcPr>
          <w:p w14:paraId="241142BA"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000000" w:fill="5B9BD5"/>
            <w:noWrap/>
            <w:vAlign w:val="bottom"/>
            <w:hideMark/>
          </w:tcPr>
          <w:p w14:paraId="45399CEE"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000000" w:fill="5B9BD5"/>
            <w:noWrap/>
            <w:vAlign w:val="bottom"/>
            <w:hideMark/>
          </w:tcPr>
          <w:p w14:paraId="4E463B9D"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auto" w:fill="4F81BD" w:themeFill="accent1"/>
            <w:noWrap/>
            <w:vAlign w:val="bottom"/>
            <w:hideMark/>
          </w:tcPr>
          <w:p w14:paraId="7769D81D" w14:textId="6A716965" w:rsidR="009F6885" w:rsidRPr="00E056AE" w:rsidRDefault="002554AB"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single" w:sz="4" w:space="0" w:color="auto"/>
            </w:tcBorders>
            <w:shd w:val="clear" w:color="auto" w:fill="auto"/>
            <w:noWrap/>
            <w:vAlign w:val="bottom"/>
            <w:hideMark/>
          </w:tcPr>
          <w:p w14:paraId="3294C7D2" w14:textId="397AFE8A"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r>
      <w:tr w:rsidR="009F6885" w:rsidRPr="00E056AE" w14:paraId="2C6B6C63" w14:textId="77777777" w:rsidTr="00B65A63">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160FC148" w14:textId="77777777" w:rsidR="009F6885" w:rsidRPr="00E056AE" w:rsidRDefault="009F6885" w:rsidP="009F6885">
            <w:pPr>
              <w:spacing w:after="0" w:line="240" w:lineRule="auto"/>
              <w:rPr>
                <w:rFonts w:eastAsia="Times New Roman" w:cstheme="minorHAnsi"/>
                <w:b/>
                <w:bCs/>
                <w:i/>
                <w:iCs/>
                <w:color w:val="000000"/>
                <w:szCs w:val="22"/>
                <w:lang w:eastAsia="en-GB"/>
              </w:rPr>
            </w:pPr>
            <w:r w:rsidRPr="00E056AE">
              <w:rPr>
                <w:rFonts w:eastAsia="Times New Roman" w:cstheme="minorHAnsi"/>
                <w:b/>
                <w:bCs/>
                <w:i/>
                <w:iCs/>
                <w:color w:val="000000"/>
                <w:szCs w:val="22"/>
                <w:lang w:eastAsia="en-GB"/>
              </w:rPr>
              <w:t>Coding of individual interview and focus groups data</w:t>
            </w:r>
          </w:p>
        </w:tc>
        <w:tc>
          <w:tcPr>
            <w:tcW w:w="960" w:type="dxa"/>
            <w:tcBorders>
              <w:top w:val="nil"/>
              <w:left w:val="nil"/>
              <w:bottom w:val="nil"/>
              <w:right w:val="nil"/>
            </w:tcBorders>
            <w:shd w:val="clear" w:color="auto" w:fill="auto"/>
            <w:noWrap/>
            <w:vAlign w:val="bottom"/>
            <w:hideMark/>
          </w:tcPr>
          <w:p w14:paraId="7576AF29"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auto" w:fill="auto"/>
            <w:noWrap/>
            <w:vAlign w:val="bottom"/>
            <w:hideMark/>
          </w:tcPr>
          <w:p w14:paraId="652AA716"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000000" w:fill="5B9BD5"/>
            <w:noWrap/>
            <w:vAlign w:val="bottom"/>
            <w:hideMark/>
          </w:tcPr>
          <w:p w14:paraId="3058E61D"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000000" w:fill="5B9BD5"/>
            <w:noWrap/>
            <w:vAlign w:val="bottom"/>
            <w:hideMark/>
          </w:tcPr>
          <w:p w14:paraId="5D80A852"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nil"/>
            </w:tcBorders>
            <w:shd w:val="clear" w:color="000000" w:fill="5B9BD5"/>
            <w:noWrap/>
            <w:vAlign w:val="bottom"/>
            <w:hideMark/>
          </w:tcPr>
          <w:p w14:paraId="2BC63E10"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single" w:sz="4" w:space="0" w:color="auto"/>
            </w:tcBorders>
            <w:shd w:val="clear" w:color="auto" w:fill="4F81BD" w:themeFill="accent1"/>
            <w:noWrap/>
            <w:vAlign w:val="bottom"/>
            <w:hideMark/>
          </w:tcPr>
          <w:p w14:paraId="6F47B158" w14:textId="05C476E9" w:rsidR="009F6885" w:rsidRPr="00E056AE" w:rsidRDefault="00FC7D33"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r w:rsidR="009F6885" w:rsidRPr="00E056AE">
              <w:rPr>
                <w:rFonts w:eastAsia="Times New Roman" w:cstheme="minorHAnsi"/>
                <w:szCs w:val="22"/>
                <w:lang w:eastAsia="en-GB"/>
              </w:rPr>
              <w:t> </w:t>
            </w:r>
          </w:p>
        </w:tc>
      </w:tr>
      <w:tr w:rsidR="009F6885" w:rsidRPr="00E056AE" w14:paraId="6154374E" w14:textId="77777777" w:rsidTr="00B65A63">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3029EFB4" w14:textId="128E7FF5" w:rsidR="009F6885" w:rsidRPr="00E056AE" w:rsidRDefault="003424AD" w:rsidP="009F6885">
            <w:pPr>
              <w:spacing w:after="0" w:line="240" w:lineRule="auto"/>
              <w:rPr>
                <w:rFonts w:eastAsia="Times New Roman" w:cstheme="minorHAnsi"/>
                <w:b/>
                <w:bCs/>
                <w:i/>
                <w:iCs/>
                <w:color w:val="000000"/>
                <w:szCs w:val="22"/>
                <w:lang w:eastAsia="en-GB"/>
              </w:rPr>
            </w:pPr>
            <w:r w:rsidRPr="00E056AE">
              <w:rPr>
                <w:rFonts w:eastAsia="Times New Roman" w:cstheme="minorHAnsi"/>
                <w:b/>
                <w:bCs/>
                <w:i/>
                <w:iCs/>
                <w:color w:val="000000"/>
                <w:szCs w:val="22"/>
                <w:lang w:eastAsia="en-GB"/>
              </w:rPr>
              <w:t>A</w:t>
            </w:r>
            <w:r w:rsidR="009F6885" w:rsidRPr="00E056AE">
              <w:rPr>
                <w:rFonts w:eastAsia="Times New Roman" w:cstheme="minorHAnsi"/>
                <w:b/>
                <w:bCs/>
                <w:i/>
                <w:iCs/>
                <w:color w:val="000000"/>
                <w:szCs w:val="22"/>
                <w:lang w:eastAsia="en-GB"/>
              </w:rPr>
              <w:t>nalysis of full data and theory generation</w:t>
            </w:r>
          </w:p>
        </w:tc>
        <w:tc>
          <w:tcPr>
            <w:tcW w:w="960" w:type="dxa"/>
            <w:tcBorders>
              <w:top w:val="nil"/>
              <w:left w:val="nil"/>
              <w:bottom w:val="nil"/>
              <w:right w:val="nil"/>
            </w:tcBorders>
            <w:shd w:val="clear" w:color="auto" w:fill="auto"/>
            <w:noWrap/>
            <w:vAlign w:val="bottom"/>
            <w:hideMark/>
          </w:tcPr>
          <w:p w14:paraId="53DD88C8"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auto" w:fill="auto"/>
            <w:noWrap/>
            <w:vAlign w:val="bottom"/>
            <w:hideMark/>
          </w:tcPr>
          <w:p w14:paraId="74D549ED"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auto" w:fill="auto"/>
            <w:noWrap/>
            <w:vAlign w:val="bottom"/>
            <w:hideMark/>
          </w:tcPr>
          <w:p w14:paraId="3582112B"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auto" w:fill="auto"/>
            <w:noWrap/>
            <w:vAlign w:val="bottom"/>
            <w:hideMark/>
          </w:tcPr>
          <w:p w14:paraId="59D97310"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p>
        </w:tc>
        <w:tc>
          <w:tcPr>
            <w:tcW w:w="960" w:type="dxa"/>
            <w:tcBorders>
              <w:top w:val="nil"/>
              <w:left w:val="single" w:sz="4" w:space="0" w:color="auto"/>
              <w:bottom w:val="nil"/>
              <w:right w:val="nil"/>
            </w:tcBorders>
            <w:shd w:val="clear" w:color="000000" w:fill="5B9BD5"/>
            <w:noWrap/>
            <w:vAlign w:val="bottom"/>
            <w:hideMark/>
          </w:tcPr>
          <w:p w14:paraId="062021DB" w14:textId="77777777"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x</w:t>
            </w:r>
          </w:p>
        </w:tc>
        <w:tc>
          <w:tcPr>
            <w:tcW w:w="960" w:type="dxa"/>
            <w:tcBorders>
              <w:top w:val="nil"/>
              <w:left w:val="single" w:sz="4" w:space="0" w:color="auto"/>
              <w:bottom w:val="nil"/>
              <w:right w:val="single" w:sz="4" w:space="0" w:color="auto"/>
            </w:tcBorders>
            <w:shd w:val="clear" w:color="auto" w:fill="4F81BD" w:themeFill="accent1"/>
            <w:noWrap/>
            <w:vAlign w:val="bottom"/>
            <w:hideMark/>
          </w:tcPr>
          <w:p w14:paraId="19BF7766" w14:textId="511D779A" w:rsidR="009F6885" w:rsidRPr="00E056AE" w:rsidRDefault="009F6885" w:rsidP="009F6885">
            <w:pPr>
              <w:spacing w:after="0" w:line="240" w:lineRule="auto"/>
              <w:jc w:val="center"/>
              <w:rPr>
                <w:rFonts w:eastAsia="Times New Roman" w:cstheme="minorHAnsi"/>
                <w:szCs w:val="22"/>
                <w:lang w:eastAsia="en-GB"/>
              </w:rPr>
            </w:pPr>
            <w:r w:rsidRPr="00E056AE">
              <w:rPr>
                <w:rFonts w:eastAsia="Times New Roman" w:cstheme="minorHAnsi"/>
                <w:szCs w:val="22"/>
                <w:lang w:eastAsia="en-GB"/>
              </w:rPr>
              <w:t> </w:t>
            </w:r>
            <w:r w:rsidR="00FC7D33" w:rsidRPr="00E056AE">
              <w:rPr>
                <w:rFonts w:eastAsia="Times New Roman" w:cstheme="minorHAnsi"/>
                <w:szCs w:val="22"/>
                <w:lang w:eastAsia="en-GB"/>
              </w:rPr>
              <w:t>X</w:t>
            </w:r>
          </w:p>
        </w:tc>
      </w:tr>
      <w:tr w:rsidR="009F6885" w:rsidRPr="00E056AE" w14:paraId="2DE1E598" w14:textId="77777777" w:rsidTr="009F6885">
        <w:trPr>
          <w:trHeight w:val="300"/>
        </w:trPr>
        <w:tc>
          <w:tcPr>
            <w:tcW w:w="5140" w:type="dxa"/>
            <w:tcBorders>
              <w:top w:val="nil"/>
              <w:left w:val="nil"/>
              <w:bottom w:val="nil"/>
              <w:right w:val="nil"/>
            </w:tcBorders>
            <w:shd w:val="clear" w:color="auto" w:fill="auto"/>
            <w:noWrap/>
            <w:vAlign w:val="bottom"/>
            <w:hideMark/>
          </w:tcPr>
          <w:p w14:paraId="10A44CF8" w14:textId="77777777" w:rsidR="009F6885" w:rsidRPr="00E056AE" w:rsidRDefault="009F6885" w:rsidP="009F6885">
            <w:pPr>
              <w:spacing w:after="0" w:line="240" w:lineRule="auto"/>
              <w:jc w:val="center"/>
              <w:rPr>
                <w:rFonts w:eastAsia="Times New Roman" w:cstheme="minorHAnsi"/>
                <w:szCs w:val="22"/>
                <w:lang w:eastAsia="en-GB"/>
              </w:rPr>
            </w:pPr>
          </w:p>
        </w:tc>
        <w:tc>
          <w:tcPr>
            <w:tcW w:w="960" w:type="dxa"/>
            <w:tcBorders>
              <w:top w:val="nil"/>
              <w:left w:val="nil"/>
              <w:bottom w:val="nil"/>
              <w:right w:val="nil"/>
            </w:tcBorders>
            <w:shd w:val="clear" w:color="auto" w:fill="auto"/>
            <w:noWrap/>
            <w:vAlign w:val="bottom"/>
            <w:hideMark/>
          </w:tcPr>
          <w:p w14:paraId="0A297873"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73FE89A6"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6F39627"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9D3F88F"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63F36E19"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CD3A15B" w14:textId="77777777" w:rsidR="009F6885" w:rsidRPr="00E056AE" w:rsidRDefault="009F6885" w:rsidP="009F6885">
            <w:pPr>
              <w:spacing w:after="0" w:line="240" w:lineRule="auto"/>
              <w:rPr>
                <w:rFonts w:eastAsia="Times New Roman" w:cstheme="minorHAnsi"/>
                <w:sz w:val="20"/>
                <w:szCs w:val="20"/>
                <w:lang w:eastAsia="en-GB"/>
              </w:rPr>
            </w:pPr>
          </w:p>
        </w:tc>
      </w:tr>
      <w:tr w:rsidR="009F6885" w:rsidRPr="00E056AE" w14:paraId="67286349" w14:textId="77777777" w:rsidTr="009F6885">
        <w:trPr>
          <w:trHeight w:val="300"/>
        </w:trPr>
        <w:tc>
          <w:tcPr>
            <w:tcW w:w="5140" w:type="dxa"/>
            <w:tcBorders>
              <w:top w:val="nil"/>
              <w:left w:val="nil"/>
              <w:bottom w:val="nil"/>
              <w:right w:val="nil"/>
            </w:tcBorders>
            <w:shd w:val="clear" w:color="auto" w:fill="auto"/>
            <w:noWrap/>
            <w:vAlign w:val="bottom"/>
            <w:hideMark/>
          </w:tcPr>
          <w:p w14:paraId="4E31C146"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000000" w:fill="ED7D31"/>
            <w:noWrap/>
            <w:vAlign w:val="bottom"/>
            <w:hideMark/>
          </w:tcPr>
          <w:p w14:paraId="65D07817" w14:textId="77777777" w:rsidR="009F6885" w:rsidRPr="00E056AE" w:rsidRDefault="009F6885"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x</w:t>
            </w:r>
          </w:p>
        </w:tc>
        <w:tc>
          <w:tcPr>
            <w:tcW w:w="3840" w:type="dxa"/>
            <w:gridSpan w:val="4"/>
            <w:tcBorders>
              <w:top w:val="nil"/>
              <w:left w:val="nil"/>
              <w:bottom w:val="nil"/>
              <w:right w:val="nil"/>
            </w:tcBorders>
            <w:shd w:val="clear" w:color="auto" w:fill="auto"/>
            <w:noWrap/>
            <w:vAlign w:val="bottom"/>
            <w:hideMark/>
          </w:tcPr>
          <w:p w14:paraId="099BE625" w14:textId="77777777" w:rsidR="009F6885" w:rsidRPr="00E056AE" w:rsidRDefault="009F6885" w:rsidP="009F6885">
            <w:pPr>
              <w:spacing w:after="0" w:line="240" w:lineRule="auto"/>
              <w:rPr>
                <w:rFonts w:eastAsia="Times New Roman" w:cstheme="minorHAnsi"/>
                <w:color w:val="000000"/>
                <w:szCs w:val="22"/>
                <w:lang w:eastAsia="en-GB"/>
              </w:rPr>
            </w:pPr>
            <w:r w:rsidRPr="00E056AE">
              <w:rPr>
                <w:rFonts w:eastAsia="Times New Roman" w:cstheme="minorHAnsi"/>
                <w:color w:val="000000"/>
                <w:szCs w:val="22"/>
                <w:lang w:eastAsia="en-GB"/>
              </w:rPr>
              <w:t>Recruitment and data collection</w:t>
            </w:r>
          </w:p>
        </w:tc>
        <w:tc>
          <w:tcPr>
            <w:tcW w:w="960" w:type="dxa"/>
            <w:tcBorders>
              <w:top w:val="nil"/>
              <w:left w:val="nil"/>
              <w:bottom w:val="nil"/>
              <w:right w:val="nil"/>
            </w:tcBorders>
            <w:shd w:val="clear" w:color="auto" w:fill="auto"/>
            <w:noWrap/>
            <w:vAlign w:val="bottom"/>
            <w:hideMark/>
          </w:tcPr>
          <w:p w14:paraId="3CD8E079" w14:textId="77777777" w:rsidR="009F6885" w:rsidRPr="00E056AE" w:rsidRDefault="009F6885" w:rsidP="009F6885">
            <w:pPr>
              <w:spacing w:after="0" w:line="240" w:lineRule="auto"/>
              <w:rPr>
                <w:rFonts w:eastAsia="Times New Roman" w:cstheme="minorHAnsi"/>
                <w:color w:val="000000"/>
                <w:szCs w:val="22"/>
                <w:lang w:eastAsia="en-GB"/>
              </w:rPr>
            </w:pPr>
          </w:p>
        </w:tc>
      </w:tr>
      <w:tr w:rsidR="009F6885" w:rsidRPr="00E056AE" w14:paraId="28B33587" w14:textId="77777777" w:rsidTr="009F6885">
        <w:trPr>
          <w:trHeight w:val="300"/>
        </w:trPr>
        <w:tc>
          <w:tcPr>
            <w:tcW w:w="5140" w:type="dxa"/>
            <w:tcBorders>
              <w:top w:val="nil"/>
              <w:left w:val="nil"/>
              <w:bottom w:val="nil"/>
              <w:right w:val="nil"/>
            </w:tcBorders>
            <w:shd w:val="clear" w:color="auto" w:fill="auto"/>
            <w:noWrap/>
            <w:vAlign w:val="bottom"/>
            <w:hideMark/>
          </w:tcPr>
          <w:p w14:paraId="1375E5DA"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000000" w:fill="5B9BD5"/>
            <w:noWrap/>
            <w:vAlign w:val="bottom"/>
            <w:hideMark/>
          </w:tcPr>
          <w:p w14:paraId="2CFF991D" w14:textId="77777777" w:rsidR="009F6885" w:rsidRPr="00E056AE" w:rsidRDefault="009F6885"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x</w:t>
            </w:r>
          </w:p>
        </w:tc>
        <w:tc>
          <w:tcPr>
            <w:tcW w:w="1920" w:type="dxa"/>
            <w:gridSpan w:val="2"/>
            <w:tcBorders>
              <w:top w:val="nil"/>
              <w:left w:val="nil"/>
              <w:bottom w:val="nil"/>
              <w:right w:val="nil"/>
            </w:tcBorders>
            <w:shd w:val="clear" w:color="auto" w:fill="auto"/>
            <w:noWrap/>
            <w:vAlign w:val="bottom"/>
            <w:hideMark/>
          </w:tcPr>
          <w:p w14:paraId="64A1BADC" w14:textId="77777777" w:rsidR="009F6885" w:rsidRPr="00E056AE" w:rsidRDefault="009F6885" w:rsidP="009F6885">
            <w:pPr>
              <w:spacing w:after="0" w:line="240" w:lineRule="auto"/>
              <w:rPr>
                <w:rFonts w:eastAsia="Times New Roman" w:cstheme="minorHAnsi"/>
                <w:color w:val="000000"/>
                <w:szCs w:val="22"/>
                <w:lang w:eastAsia="en-GB"/>
              </w:rPr>
            </w:pPr>
            <w:r w:rsidRPr="00E056AE">
              <w:rPr>
                <w:rFonts w:eastAsia="Times New Roman" w:cstheme="minorHAnsi"/>
                <w:color w:val="000000"/>
                <w:szCs w:val="22"/>
                <w:lang w:eastAsia="en-GB"/>
              </w:rPr>
              <w:t>Data Analysis</w:t>
            </w:r>
          </w:p>
        </w:tc>
        <w:tc>
          <w:tcPr>
            <w:tcW w:w="960" w:type="dxa"/>
            <w:tcBorders>
              <w:top w:val="nil"/>
              <w:left w:val="nil"/>
              <w:bottom w:val="nil"/>
              <w:right w:val="nil"/>
            </w:tcBorders>
            <w:shd w:val="clear" w:color="auto" w:fill="auto"/>
            <w:noWrap/>
            <w:vAlign w:val="bottom"/>
            <w:hideMark/>
          </w:tcPr>
          <w:p w14:paraId="2B8A7525" w14:textId="77777777" w:rsidR="009F6885" w:rsidRPr="00E056AE" w:rsidRDefault="009F6885" w:rsidP="009F6885">
            <w:pPr>
              <w:spacing w:after="0" w:line="240" w:lineRule="auto"/>
              <w:rPr>
                <w:rFonts w:eastAsia="Times New Roman" w:cstheme="minorHAnsi"/>
                <w:color w:val="000000"/>
                <w:szCs w:val="22"/>
                <w:lang w:eastAsia="en-GB"/>
              </w:rPr>
            </w:pPr>
          </w:p>
        </w:tc>
        <w:tc>
          <w:tcPr>
            <w:tcW w:w="960" w:type="dxa"/>
            <w:tcBorders>
              <w:top w:val="nil"/>
              <w:left w:val="nil"/>
              <w:bottom w:val="nil"/>
              <w:right w:val="nil"/>
            </w:tcBorders>
            <w:shd w:val="clear" w:color="auto" w:fill="auto"/>
            <w:noWrap/>
            <w:vAlign w:val="bottom"/>
            <w:hideMark/>
          </w:tcPr>
          <w:p w14:paraId="79BCE381" w14:textId="77777777" w:rsidR="009F6885" w:rsidRPr="00ED7841"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5E70CE9D" w14:textId="77777777" w:rsidR="009F6885" w:rsidRPr="00E056AE" w:rsidRDefault="009F6885" w:rsidP="009F6885">
            <w:pPr>
              <w:spacing w:after="0" w:line="240" w:lineRule="auto"/>
              <w:rPr>
                <w:rFonts w:eastAsia="Times New Roman" w:cstheme="minorHAnsi"/>
                <w:sz w:val="20"/>
                <w:szCs w:val="20"/>
                <w:lang w:eastAsia="en-GB"/>
              </w:rPr>
            </w:pPr>
          </w:p>
        </w:tc>
      </w:tr>
      <w:tr w:rsidR="009F6885" w:rsidRPr="00E056AE" w14:paraId="4A6BF6CD" w14:textId="77777777" w:rsidTr="009F6885">
        <w:trPr>
          <w:trHeight w:val="300"/>
        </w:trPr>
        <w:tc>
          <w:tcPr>
            <w:tcW w:w="5140" w:type="dxa"/>
            <w:tcBorders>
              <w:top w:val="nil"/>
              <w:left w:val="nil"/>
              <w:bottom w:val="nil"/>
              <w:right w:val="nil"/>
            </w:tcBorders>
            <w:shd w:val="clear" w:color="auto" w:fill="auto"/>
            <w:noWrap/>
            <w:vAlign w:val="bottom"/>
            <w:hideMark/>
          </w:tcPr>
          <w:p w14:paraId="7E19435F" w14:textId="77777777" w:rsidR="009F6885" w:rsidRPr="00E056AE" w:rsidRDefault="009F6885" w:rsidP="009F6885">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000000" w:fill="70AD47"/>
            <w:noWrap/>
            <w:vAlign w:val="bottom"/>
            <w:hideMark/>
          </w:tcPr>
          <w:p w14:paraId="2A3A90B8" w14:textId="77777777" w:rsidR="009F6885" w:rsidRPr="00E056AE" w:rsidRDefault="009F6885" w:rsidP="009F6885">
            <w:pPr>
              <w:spacing w:after="0" w:line="240" w:lineRule="auto"/>
              <w:jc w:val="center"/>
              <w:rPr>
                <w:rFonts w:eastAsia="Times New Roman" w:cstheme="minorHAnsi"/>
                <w:color w:val="000000"/>
                <w:szCs w:val="22"/>
                <w:lang w:eastAsia="en-GB"/>
              </w:rPr>
            </w:pPr>
            <w:r w:rsidRPr="00E056AE">
              <w:rPr>
                <w:rFonts w:eastAsia="Times New Roman" w:cstheme="minorHAnsi"/>
                <w:color w:val="000000"/>
                <w:szCs w:val="22"/>
                <w:lang w:eastAsia="en-GB"/>
              </w:rPr>
              <w:t>x</w:t>
            </w:r>
          </w:p>
        </w:tc>
        <w:tc>
          <w:tcPr>
            <w:tcW w:w="4800" w:type="dxa"/>
            <w:gridSpan w:val="5"/>
            <w:tcBorders>
              <w:top w:val="nil"/>
              <w:left w:val="nil"/>
              <w:bottom w:val="nil"/>
              <w:right w:val="nil"/>
            </w:tcBorders>
            <w:shd w:val="clear" w:color="auto" w:fill="auto"/>
            <w:noWrap/>
            <w:vAlign w:val="bottom"/>
            <w:hideMark/>
          </w:tcPr>
          <w:p w14:paraId="23CEAA67" w14:textId="77777777" w:rsidR="009F6885" w:rsidRPr="00E056AE" w:rsidRDefault="009F6885" w:rsidP="009F6885">
            <w:pPr>
              <w:spacing w:after="0" w:line="240" w:lineRule="auto"/>
              <w:rPr>
                <w:rFonts w:eastAsia="Times New Roman" w:cstheme="minorHAnsi"/>
                <w:color w:val="000000"/>
                <w:szCs w:val="22"/>
                <w:lang w:eastAsia="en-GB"/>
              </w:rPr>
            </w:pPr>
            <w:r w:rsidRPr="00E056AE">
              <w:rPr>
                <w:rFonts w:eastAsia="Times New Roman" w:cstheme="minorHAnsi"/>
                <w:color w:val="000000"/>
                <w:szCs w:val="22"/>
                <w:lang w:eastAsia="en-GB"/>
              </w:rPr>
              <w:t>Dissemination and submission for publication</w:t>
            </w:r>
          </w:p>
        </w:tc>
      </w:tr>
    </w:tbl>
    <w:p w14:paraId="7998D25C" w14:textId="2326F4AD" w:rsidR="00475FDA"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E056AE">
        <w:rPr>
          <w:rFonts w:cstheme="minorHAnsi"/>
          <w:szCs w:val="22"/>
        </w:rPr>
        <w:br w:type="page"/>
      </w:r>
    </w:p>
    <w:p w14:paraId="43AA51D6" w14:textId="77777777" w:rsidR="004D083E" w:rsidRPr="00E056A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RPr="00E056AE" w:rsidSect="00580154">
          <w:headerReference w:type="default" r:id="rId8"/>
          <w:footerReference w:type="default" r:id="rId9"/>
          <w:headerReference w:type="first" r:id="rId10"/>
          <w:footerReference w:type="first" r:id="rId11"/>
          <w:pgSz w:w="11900" w:h="16840"/>
          <w:pgMar w:top="1985" w:right="964" w:bottom="1134" w:left="964" w:header="708" w:footer="0" w:gutter="0"/>
          <w:pgNumType w:fmt="lowerRoman" w:start="1"/>
          <w:cols w:space="708"/>
          <w:titlePg/>
          <w:docGrid w:linePitch="360"/>
        </w:sectPr>
      </w:pPr>
    </w:p>
    <w:p w14:paraId="73142E89" w14:textId="34059D64" w:rsidR="003802A1" w:rsidRPr="00E056AE"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E056AE">
        <w:rPr>
          <w:rFonts w:cstheme="minorHAnsi"/>
          <w:b/>
          <w:szCs w:val="22"/>
        </w:rPr>
        <w:lastRenderedPageBreak/>
        <w:t>STUDY PROTOCOL</w:t>
      </w:r>
    </w:p>
    <w:p w14:paraId="11ED4ADF" w14:textId="5481CF6F" w:rsidR="004D5F9C" w:rsidRPr="00E056AE" w:rsidRDefault="00475FDA" w:rsidP="004D5F9C">
      <w:pPr>
        <w:pStyle w:val="Heading1"/>
        <w:numPr>
          <w:ilvl w:val="0"/>
          <w:numId w:val="26"/>
        </w:numPr>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BACKGROUND</w:t>
      </w:r>
    </w:p>
    <w:p w14:paraId="1312BAA2" w14:textId="3DC741EF" w:rsidR="003B45EC" w:rsidRPr="00E056AE" w:rsidRDefault="009301C8" w:rsidP="009301C8">
      <w:pPr>
        <w:rPr>
          <w:rFonts w:cstheme="minorHAnsi"/>
        </w:rPr>
      </w:pPr>
      <w:r w:rsidRPr="00E056AE">
        <w:rPr>
          <w:rFonts w:cstheme="minorHAnsi"/>
        </w:rPr>
        <w:t xml:space="preserve">Tuberculosis </w:t>
      </w:r>
      <w:r w:rsidR="00EA3783" w:rsidRPr="00E056AE">
        <w:rPr>
          <w:rFonts w:cstheme="minorHAnsi"/>
        </w:rPr>
        <w:t xml:space="preserve">(TB) </w:t>
      </w:r>
      <w:r w:rsidRPr="00E056AE">
        <w:rPr>
          <w:rFonts w:cstheme="minorHAnsi"/>
        </w:rPr>
        <w:t>is one of the top ten causes of death worldwide, and the number one cause of infectious disease-related death, with over 1.6 million deaths attributed to TB in 2017</w:t>
      </w:r>
      <w:r w:rsidR="00B24C54" w:rsidRPr="00E056AE">
        <w:rPr>
          <w:rFonts w:cstheme="minorHAnsi"/>
        </w:rPr>
        <w:t>; a further 10 million new cases are estimated to have occurred in 2017</w:t>
      </w:r>
      <w:r w:rsidRPr="00E056AE">
        <w:rPr>
          <w:rFonts w:cstheme="minorHAnsi"/>
        </w:rPr>
        <w:t>.</w:t>
      </w:r>
      <w:r w:rsidRPr="00E056AE">
        <w:rPr>
          <w:rFonts w:cstheme="minorHAnsi"/>
        </w:rPr>
        <w:fldChar w:fldCharType="begin" w:fldLock="1"/>
      </w:r>
      <w:r w:rsidR="00F27C43" w:rsidRPr="00E056AE">
        <w:rPr>
          <w:rFonts w:cstheme="minorHAnsi"/>
        </w:rPr>
        <w:instrText>ADDIN CSL_CITATION {"citationItems":[{"id":"ITEM-1","itemData":{"author":[{"dropping-particle":"","family":"World Health Organization","given":"","non-dropping-particle":"","parse-names":false,"suffix":""}],"id":"ITEM-1","issued":{"date-parts":[["2018"]]},"title":"Global Tuberculosis Report 2018 - Executive Summary","type":"report"},"uris":["http://www.mendeley.com/documents/?uuid=b0ce07f3-4718-3609-a8be-b60f23723e23"]}],"mendeley":{"formattedCitation":"&lt;sup&gt;1&lt;/sup&gt;","plainTextFormattedCitation":"1","previouslyFormattedCitation":"&lt;sup&gt;1&lt;/sup&gt;"},"properties":{"noteIndex":0},"schema":"https://github.com/citation-style-language/schema/raw/master/csl-citation.json"}</w:instrText>
      </w:r>
      <w:r w:rsidRPr="00E056AE">
        <w:rPr>
          <w:rFonts w:cstheme="minorHAnsi"/>
        </w:rPr>
        <w:fldChar w:fldCharType="separate"/>
      </w:r>
      <w:r w:rsidRPr="00E056AE">
        <w:rPr>
          <w:rFonts w:cstheme="minorHAnsi"/>
          <w:noProof/>
          <w:vertAlign w:val="superscript"/>
        </w:rPr>
        <w:t>1</w:t>
      </w:r>
      <w:r w:rsidRPr="00E056AE">
        <w:rPr>
          <w:rFonts w:cstheme="minorHAnsi"/>
        </w:rPr>
        <w:fldChar w:fldCharType="end"/>
      </w:r>
      <w:r w:rsidR="006335D1" w:rsidRPr="00E056AE">
        <w:rPr>
          <w:rFonts w:cstheme="minorHAnsi"/>
        </w:rPr>
        <w:t xml:space="preserve"> </w:t>
      </w:r>
      <w:r w:rsidR="00F1441F" w:rsidRPr="00E056AE">
        <w:rPr>
          <w:rFonts w:cstheme="minorHAnsi"/>
        </w:rPr>
        <w:t xml:space="preserve">Besides the immediate threat of active TB, </w:t>
      </w:r>
      <w:r w:rsidR="003424AD" w:rsidRPr="00E056AE">
        <w:rPr>
          <w:rFonts w:cstheme="minorHAnsi"/>
        </w:rPr>
        <w:t>is that of latent tuberculosis infection (LTBI), which is estimated to be prevalent in around 23% (95% uncertainty interval: 20.4-26.4%) of the entire global population, totalling 1.7 billion people.</w:t>
      </w:r>
      <w:r w:rsidR="00782962" w:rsidRPr="00E056AE">
        <w:rPr>
          <w:rFonts w:cstheme="minorHAnsi"/>
        </w:rPr>
        <w:fldChar w:fldCharType="begin" w:fldLock="1"/>
      </w:r>
      <w:r w:rsidR="009F1495" w:rsidRPr="00E056AE">
        <w:rPr>
          <w:rFonts w:cstheme="minorHAnsi"/>
        </w:rPr>
        <w:instrText>ADDIN CSL_CITATION {"citationItems":[{"id":"ITEM-1","itemData":{"DOI":"10.1371/journal.pmed.1002152","ISSN":"1549-1676","author":[{"dropping-particle":"","family":"Houben","given":"Rein M. G. J.","non-dropping-particle":"","parse-names":false,"suffix":""},{"dropping-particle":"","family":"Dodd","given":"Peter J.","non-dropping-particle":"","parse-names":false,"suffix":""}],"container-title":"PLOS Medicine","editor":[{"dropping-particle":"","family":"Metcalfe","given":"John Z","non-dropping-particle":"","parse-names":false,"suffix":""}],"id":"ITEM-1","issue":"10","issued":{"date-parts":[["2016","10","25"]]},"page":"e1002152","publisher":"Public Library of Science","title":"The Global Burden of Latent Tuberculosis Infection: A Re-estimation Using Mathematical Modelling","type":"article-journal","volume":"13"},"uris":["http://www.mendeley.com/documents/?uuid=021ea060-7f18-3d2d-84db-4aba26b2ced0"]}],"mendeley":{"formattedCitation":"&lt;sup&gt;2&lt;/sup&gt;","plainTextFormattedCitation":"2","previouslyFormattedCitation":"&lt;sup&gt;2&lt;/sup&gt;"},"properties":{"noteIndex":0},"schema":"https://github.com/citation-style-language/schema/raw/master/csl-citation.json"}</w:instrText>
      </w:r>
      <w:r w:rsidR="00782962" w:rsidRPr="00E056AE">
        <w:rPr>
          <w:rFonts w:cstheme="minorHAnsi"/>
        </w:rPr>
        <w:fldChar w:fldCharType="separate"/>
      </w:r>
      <w:r w:rsidR="009679DF" w:rsidRPr="00E056AE">
        <w:rPr>
          <w:rFonts w:cstheme="minorHAnsi"/>
          <w:noProof/>
          <w:vertAlign w:val="superscript"/>
        </w:rPr>
        <w:t>2</w:t>
      </w:r>
      <w:r w:rsidR="00782962" w:rsidRPr="00E056AE">
        <w:rPr>
          <w:rFonts w:cstheme="minorHAnsi"/>
        </w:rPr>
        <w:fldChar w:fldCharType="end"/>
      </w:r>
      <w:r w:rsidR="00B24C54" w:rsidRPr="00E056AE">
        <w:rPr>
          <w:rFonts w:cstheme="minorHAnsi"/>
        </w:rPr>
        <w:t xml:space="preserve"> Whilst LTBI itself manifests sub-clinically, and does not cause disease,</w:t>
      </w:r>
      <w:r w:rsidR="003424AD" w:rsidRPr="00E056AE">
        <w:rPr>
          <w:rFonts w:cstheme="minorHAnsi"/>
        </w:rPr>
        <w:t xml:space="preserve"> </w:t>
      </w:r>
      <w:r w:rsidR="00B24C54" w:rsidRPr="00E056AE">
        <w:rPr>
          <w:rFonts w:cstheme="minorHAnsi"/>
        </w:rPr>
        <w:t xml:space="preserve">of </w:t>
      </w:r>
      <w:r w:rsidR="003424AD" w:rsidRPr="00E056AE">
        <w:rPr>
          <w:rFonts w:cstheme="minorHAnsi"/>
        </w:rPr>
        <w:t xml:space="preserve">those </w:t>
      </w:r>
      <w:r w:rsidR="00782962" w:rsidRPr="00E056AE">
        <w:rPr>
          <w:rFonts w:cstheme="minorHAnsi"/>
        </w:rPr>
        <w:t>harbouring LTBI approximately 5-10% will go on to reactivate and acquire active TB infection across their lifetime.</w:t>
      </w:r>
      <w:r w:rsidR="00782962" w:rsidRPr="00E056AE">
        <w:rPr>
          <w:rFonts w:cstheme="minorHAnsi"/>
        </w:rPr>
        <w:fldChar w:fldCharType="begin" w:fldLock="1"/>
      </w:r>
      <w:r w:rsidR="009F1495" w:rsidRPr="00E056AE">
        <w:rPr>
          <w:rFonts w:cstheme="minorHAnsi"/>
        </w:rPr>
        <w:instrText>ADDIN CSL_CITATION {"citationItems":[{"id":"ITEM-1","itemData":{"author":[{"dropping-particle":"","family":"World Health Organization","given":"","non-dropping-particle":"","parse-names":false,"suffix":""}],"id":"ITEM-1","issued":{"date-parts":[["2018"]]},"publisher-place":"Geneva","title":"Latent tuberculosis infection: Updated and consolidated guidelines for programmatic management","type":"report"},"uris":["http://www.mendeley.com/documents/?uuid=57129fda-646e-3797-8b40-30c9457b61c2"]}],"mendeley":{"formattedCitation":"&lt;sup&gt;3&lt;/sup&gt;","plainTextFormattedCitation":"3","previouslyFormattedCitation":"&lt;sup&gt;3&lt;/sup&gt;"},"properties":{"noteIndex":0},"schema":"https://github.com/citation-style-language/schema/raw/master/csl-citation.json"}</w:instrText>
      </w:r>
      <w:r w:rsidR="00782962" w:rsidRPr="00E056AE">
        <w:rPr>
          <w:rFonts w:cstheme="minorHAnsi"/>
        </w:rPr>
        <w:fldChar w:fldCharType="separate"/>
      </w:r>
      <w:r w:rsidR="009679DF" w:rsidRPr="00E056AE">
        <w:rPr>
          <w:rFonts w:cstheme="minorHAnsi"/>
          <w:noProof/>
          <w:vertAlign w:val="superscript"/>
        </w:rPr>
        <w:t>3</w:t>
      </w:r>
      <w:r w:rsidR="00782962" w:rsidRPr="00E056AE">
        <w:rPr>
          <w:rFonts w:cstheme="minorHAnsi"/>
        </w:rPr>
        <w:fldChar w:fldCharType="end"/>
      </w:r>
    </w:p>
    <w:p w14:paraId="06524DBA" w14:textId="0A6DC4CC" w:rsidR="009F1495" w:rsidRPr="00E056AE" w:rsidRDefault="003B45EC" w:rsidP="009301C8">
      <w:pPr>
        <w:rPr>
          <w:rFonts w:cstheme="minorHAnsi"/>
        </w:rPr>
      </w:pPr>
      <w:r w:rsidRPr="00E056AE">
        <w:rPr>
          <w:rFonts w:cstheme="minorHAnsi"/>
        </w:rPr>
        <w:t xml:space="preserve">The End TB Strategy </w:t>
      </w:r>
      <w:r w:rsidR="009679DF" w:rsidRPr="00E056AE">
        <w:rPr>
          <w:rFonts w:cstheme="minorHAnsi"/>
        </w:rPr>
        <w:t>adopted</w:t>
      </w:r>
      <w:r w:rsidRPr="00E056AE">
        <w:rPr>
          <w:rFonts w:cstheme="minorHAnsi"/>
        </w:rPr>
        <w:t xml:space="preserve"> by the WHO in 2014, outlining the “Global strategy and targets for tuberculosis prevention, care and control after 2015” represents the most comprehensive and ambitious </w:t>
      </w:r>
      <w:r w:rsidR="000F23F9" w:rsidRPr="00E056AE">
        <w:rPr>
          <w:rFonts w:cstheme="minorHAnsi"/>
        </w:rPr>
        <w:t>approach to eradicating TB to date.</w:t>
      </w:r>
      <w:r w:rsidR="000F23F9" w:rsidRPr="00E056AE">
        <w:rPr>
          <w:rFonts w:cstheme="minorHAnsi"/>
        </w:rPr>
        <w:fldChar w:fldCharType="begin" w:fldLock="1"/>
      </w:r>
      <w:r w:rsidR="009F1495" w:rsidRPr="00E056AE">
        <w:rPr>
          <w:rFonts w:cstheme="minorHAnsi"/>
        </w:rPr>
        <w:instrText>ADDIN CSL_CITATION {"citationItems":[{"id":"ITEM-1","itemData":{"abstract":"We stand at a crossroads as the United Nations move from the 2015 Millennium Development Goals (MDGs) to the Sustainable Development Goals (SDGs) for 2030. Integral to this transition, the world community is launching a dramatically accelerated fight against tuberculosis (TB) and for those most affected by it: the poorest, most vulnerable, socially marginalized and inequitably served. TB is a public health scourge, a health security threat and a development challenge. The World Health Organization's new and holistic strategy approved by the World Health Assembly of 194 Member States in 2014 places patients and communities at the heart of the response. Here is an introduction to the End TB Strategy. We are thankful for the deep engagement of a wide array of partners in developing the strategy and targets: ministries of health and other governmental authorities, civil society representatives, development and public health experts, and researchers. We are all committed to support the robust roll-out of the Strategy. The time to gear up and to act is now. To end TB, we depend on your engagement.","author":[{"dropping-particle":"","family":"World Health Organization","given":"","non-dropping-particle":"","parse-names":false,"suffix":""}],"id":"ITEM-1","issued":{"date-parts":[["2015"]]},"publisher-place":"Geneva, Switzerland","title":"The End TB Strategy","type":"report"},"uris":["http://www.mendeley.com/documents/?uuid=d11564da-413f-3931-9837-a9d6d25f11e5"]}],"mendeley":{"formattedCitation":"&lt;sup&gt;4&lt;/sup&gt;","plainTextFormattedCitation":"4","previouslyFormattedCitation":"&lt;sup&gt;4&lt;/sup&gt;"},"properties":{"noteIndex":0},"schema":"https://github.com/citation-style-language/schema/raw/master/csl-citation.json"}</w:instrText>
      </w:r>
      <w:r w:rsidR="000F23F9" w:rsidRPr="00E056AE">
        <w:rPr>
          <w:rFonts w:cstheme="minorHAnsi"/>
        </w:rPr>
        <w:fldChar w:fldCharType="separate"/>
      </w:r>
      <w:r w:rsidR="009679DF" w:rsidRPr="00E056AE">
        <w:rPr>
          <w:rFonts w:cstheme="minorHAnsi"/>
          <w:noProof/>
          <w:vertAlign w:val="superscript"/>
        </w:rPr>
        <w:t>4</w:t>
      </w:r>
      <w:r w:rsidR="000F23F9" w:rsidRPr="00E056AE">
        <w:rPr>
          <w:rFonts w:cstheme="minorHAnsi"/>
        </w:rPr>
        <w:fldChar w:fldCharType="end"/>
      </w:r>
      <w:r w:rsidR="000F23F9" w:rsidRPr="00E056AE">
        <w:rPr>
          <w:rFonts w:cstheme="minorHAnsi"/>
        </w:rPr>
        <w:t xml:space="preserve"> The strategy sets milestones to the end of 2035, the culmination of which is hoped to be a 95% reduction in TB deaths, and 90% reduction in incidence (relative to 2015 levels).</w:t>
      </w:r>
      <w:r w:rsidR="00B24C54" w:rsidRPr="00E056AE">
        <w:rPr>
          <w:rFonts w:cstheme="minorHAnsi"/>
        </w:rPr>
        <w:t xml:space="preserve"> </w:t>
      </w:r>
      <w:r w:rsidR="009679DF" w:rsidRPr="00E056AE">
        <w:rPr>
          <w:rFonts w:cstheme="minorHAnsi"/>
        </w:rPr>
        <w:t>The strategy outlines core pillars</w:t>
      </w:r>
      <w:r w:rsidR="009F1495" w:rsidRPr="00E056AE">
        <w:rPr>
          <w:rFonts w:cstheme="minorHAnsi"/>
        </w:rPr>
        <w:t xml:space="preserve"> and key actions,</w:t>
      </w:r>
      <w:r w:rsidR="009679DF" w:rsidRPr="00E056AE">
        <w:rPr>
          <w:rFonts w:cstheme="minorHAnsi"/>
        </w:rPr>
        <w:t xml:space="preserve"> </w:t>
      </w:r>
      <w:r w:rsidR="00B24C54" w:rsidRPr="00E056AE">
        <w:rPr>
          <w:rFonts w:cstheme="minorHAnsi"/>
        </w:rPr>
        <w:t>includ</w:t>
      </w:r>
      <w:r w:rsidR="009679DF" w:rsidRPr="00E056AE">
        <w:rPr>
          <w:rFonts w:cstheme="minorHAnsi"/>
        </w:rPr>
        <w:t>ing</w:t>
      </w:r>
      <w:r w:rsidR="00B24C54" w:rsidRPr="00E056AE">
        <w:rPr>
          <w:rFonts w:cstheme="minorHAnsi"/>
        </w:rPr>
        <w:t xml:space="preserve"> those designed to </w:t>
      </w:r>
      <w:r w:rsidR="009679DF" w:rsidRPr="00E056AE">
        <w:rPr>
          <w:rFonts w:cstheme="minorHAnsi"/>
        </w:rPr>
        <w:t>address</w:t>
      </w:r>
      <w:r w:rsidR="00B24C54" w:rsidRPr="00E056AE">
        <w:rPr>
          <w:rFonts w:cstheme="minorHAnsi"/>
        </w:rPr>
        <w:t xml:space="preserve"> active TB, and to prevent active TB cases through</w:t>
      </w:r>
      <w:r w:rsidR="009679DF" w:rsidRPr="00E056AE">
        <w:rPr>
          <w:rFonts w:cstheme="minorHAnsi"/>
        </w:rPr>
        <w:t xml:space="preserve"> the</w:t>
      </w:r>
      <w:r w:rsidR="00B24C54" w:rsidRPr="00E056AE">
        <w:rPr>
          <w:rFonts w:cstheme="minorHAnsi"/>
        </w:rPr>
        <w:t xml:space="preserve"> diagnos</w:t>
      </w:r>
      <w:r w:rsidR="009679DF" w:rsidRPr="00E056AE">
        <w:rPr>
          <w:rFonts w:cstheme="minorHAnsi"/>
        </w:rPr>
        <w:t>is</w:t>
      </w:r>
      <w:r w:rsidR="00B24C54" w:rsidRPr="00E056AE">
        <w:rPr>
          <w:rFonts w:cstheme="minorHAnsi"/>
        </w:rPr>
        <w:t xml:space="preserve"> and treat</w:t>
      </w:r>
      <w:r w:rsidR="009679DF" w:rsidRPr="00E056AE">
        <w:rPr>
          <w:rFonts w:cstheme="minorHAnsi"/>
        </w:rPr>
        <w:t>ment of</w:t>
      </w:r>
      <w:r w:rsidR="00B24C54" w:rsidRPr="00E056AE">
        <w:rPr>
          <w:rFonts w:cstheme="minorHAnsi"/>
        </w:rPr>
        <w:t xml:space="preserve"> LTBI.</w:t>
      </w:r>
    </w:p>
    <w:p w14:paraId="00DEC68E" w14:textId="223E1F37" w:rsidR="000270EF" w:rsidRPr="00E056AE" w:rsidRDefault="009679DF" w:rsidP="009301C8">
      <w:pPr>
        <w:rPr>
          <w:rFonts w:cstheme="minorHAnsi"/>
        </w:rPr>
      </w:pPr>
      <w:r w:rsidRPr="00E056AE">
        <w:rPr>
          <w:rFonts w:cstheme="minorHAnsi"/>
        </w:rPr>
        <w:t>Approaches aimed at preventing TB through the management of LTBI are thought to represent an essential component of TB control, particularly in low tuberculosis-incidence countries.</w:t>
      </w:r>
      <w:r w:rsidRPr="00E056AE">
        <w:rPr>
          <w:rFonts w:cstheme="minorHAnsi"/>
        </w:rPr>
        <w:fldChar w:fldCharType="begin" w:fldLock="1"/>
      </w:r>
      <w:r w:rsidR="009F1495" w:rsidRPr="00E056AE">
        <w:rPr>
          <w:rFonts w:cstheme="minorHAnsi"/>
        </w:rPr>
        <w:instrText>ADDIN CSL_CITATION {"citationItems":[{"id":"ITEM-1","itemData":{"abstract":"We stand at a crossroads as the United Nations move from the 2015 Millennium Development Goals (MDGs) to the Sustainable Development Goals (SDGs) for 2030. Integral to this transition, the world community is launching a dramatically accelerated fight against tuberculosis (TB) and for those most affected by it: the poorest, most vulnerable, socially marginalized and inequitably served. TB is a public health scourge, a health security threat and a development challenge. The World Health Organization's new and holistic strategy approved by the World Health Assembly of 194 Member States in 2014 places patients and communities at the heart of the response. Here is an introduction to the End TB Strategy. We are thankful for the deep engagement of a wide array of partners in developing the strategy and targets: ministries of health and other governmental authorities, civil society representatives, development and public health experts, and researchers. We are all committed to support the robust roll-out of the Strategy. The time to gear up and to act is now. To end TB, we depend on your engagement.","author":[{"dropping-particle":"","family":"World Health Organization","given":"","non-dropping-particle":"","parse-names":false,"suffix":""}],"id":"ITEM-1","issued":{"date-parts":[["2015"]]},"publisher-place":"Geneva, Switzerland","title":"The End TB Strategy","type":"report"},"uris":["http://www.mendeley.com/documents/?uuid=d11564da-413f-3931-9837-a9d6d25f11e5"]}],"mendeley":{"formattedCitation":"&lt;sup&gt;4&lt;/sup&gt;","plainTextFormattedCitation":"4","previouslyFormattedCitation":"&lt;sup&gt;4&lt;/sup&gt;"},"properties":{"noteIndex":0},"schema":"https://github.com/citation-style-language/schema/raw/master/csl-citation.json"}</w:instrText>
      </w:r>
      <w:r w:rsidRPr="00E056AE">
        <w:rPr>
          <w:rFonts w:cstheme="minorHAnsi"/>
        </w:rPr>
        <w:fldChar w:fldCharType="separate"/>
      </w:r>
      <w:r w:rsidRPr="00E056AE">
        <w:rPr>
          <w:rFonts w:cstheme="minorHAnsi"/>
          <w:noProof/>
          <w:vertAlign w:val="superscript"/>
        </w:rPr>
        <w:t>4</w:t>
      </w:r>
      <w:r w:rsidRPr="00E056AE">
        <w:rPr>
          <w:rFonts w:cstheme="minorHAnsi"/>
        </w:rPr>
        <w:fldChar w:fldCharType="end"/>
      </w:r>
      <w:r w:rsidR="009F1495" w:rsidRPr="00E056AE">
        <w:rPr>
          <w:rFonts w:cstheme="minorHAnsi"/>
        </w:rPr>
        <w:t xml:space="preserve"> Low tuberculosis-incidence countries have been the subject of a tailored framework for TB elimination, incorporating and building upon the End TB strategy and are defined as those with a TB notification rate &lt;100 per million population.</w:t>
      </w:r>
      <w:r w:rsidR="00F50DAA" w:rsidRPr="00E056AE">
        <w:rPr>
          <w:rFonts w:cstheme="minorHAnsi"/>
        </w:rPr>
        <w:fldChar w:fldCharType="begin" w:fldLock="1"/>
      </w:r>
      <w:r w:rsidR="000270EF" w:rsidRPr="00E056AE">
        <w:rPr>
          <w:rFonts w:cstheme="minorHAnsi"/>
        </w:rPr>
        <w:instrText>ADDIN CSL_CITATION {"citationItems":[{"id":"ITEM-1","itemData":{"ISBN":"9789241507707","author":[{"dropping-particle":"","family":"World Health Organization","given":"","non-dropping-particle":"","parse-names":false,"suffix":""}],"id":"ITEM-1","issued":{"date-parts":[["2014"]]},"publisher-place":"Geneva","title":"Towards tuberculosis elimination: an action framework for low-incidence countries","type":"report"},"uris":["http://www.mendeley.com/documents/?uuid=3c600552-4cb6-3a0c-81e2-36c68cea0299"]}],"mendeley":{"formattedCitation":"&lt;sup&gt;5&lt;/sup&gt;","plainTextFormattedCitation":"5","previouslyFormattedCitation":"&lt;sup&gt;5&lt;/sup&gt;"},"properties":{"noteIndex":0},"schema":"https://github.com/citation-style-language/schema/raw/master/csl-citation.json"}</w:instrText>
      </w:r>
      <w:r w:rsidR="00F50DAA" w:rsidRPr="00E056AE">
        <w:rPr>
          <w:rFonts w:cstheme="minorHAnsi"/>
        </w:rPr>
        <w:fldChar w:fldCharType="separate"/>
      </w:r>
      <w:r w:rsidR="00F50DAA" w:rsidRPr="00E056AE">
        <w:rPr>
          <w:rFonts w:cstheme="minorHAnsi"/>
          <w:noProof/>
          <w:vertAlign w:val="superscript"/>
        </w:rPr>
        <w:t>5</w:t>
      </w:r>
      <w:r w:rsidR="00F50DAA" w:rsidRPr="00E056AE">
        <w:rPr>
          <w:rFonts w:cstheme="minorHAnsi"/>
        </w:rPr>
        <w:fldChar w:fldCharType="end"/>
      </w:r>
      <w:r w:rsidR="009F1495" w:rsidRPr="00E056AE">
        <w:rPr>
          <w:rFonts w:cstheme="minorHAnsi"/>
        </w:rPr>
        <w:t xml:space="preserve"> </w:t>
      </w:r>
      <w:r w:rsidR="00F50DAA" w:rsidRPr="00E056AE">
        <w:rPr>
          <w:rFonts w:cstheme="minorHAnsi"/>
        </w:rPr>
        <w:t>In general, these low-incidence countries represent some of the wealthiest nations on the planet, including many from Europe, and therefore those that are perhaps best equipped to meet TB elimination targets. Despite this, only four of the 31 nations (and 2 territories) that comprise this group are currently meeting the annual decline in TB incidence required to achieve pre-elimination targets by 2035 (&lt;10 notifications per million population), whilst none will achieve elimination.</w:t>
      </w:r>
      <w:r w:rsidR="00F50DAA" w:rsidRPr="00E056AE">
        <w:rPr>
          <w:rFonts w:cstheme="minorHAnsi"/>
        </w:rPr>
        <w:fldChar w:fldCharType="begin" w:fldLock="1"/>
      </w:r>
      <w:r w:rsidR="000270EF" w:rsidRPr="00E056AE">
        <w:rPr>
          <w:rFonts w:cstheme="minorHAnsi"/>
        </w:rPr>
        <w:instrText>ADDIN CSL_CITATION {"citationItems":[{"id":"ITEM-1","itemData":{"ISBN":"9789241507707","author":[{"dropping-particle":"","family":"World Health Organization","given":"","non-dropping-particle":"","parse-names":false,"suffix":""}],"id":"ITEM-1","issued":{"date-parts":[["2014"]]},"publisher-place":"Geneva","title":"Towards tuberculosis elimination: an action framework for low-incidence countries","type":"report"},"uris":["http://www.mendeley.com/documents/?uuid=3c600552-4cb6-3a0c-81e2-36c68cea0299"]}],"mendeley":{"formattedCitation":"&lt;sup&gt;5&lt;/sup&gt;","plainTextFormattedCitation":"5","previouslyFormattedCitation":"&lt;sup&gt;5&lt;/sup&gt;"},"properties":{"noteIndex":0},"schema":"https://github.com/citation-style-language/schema/raw/master/csl-citation.json"}</w:instrText>
      </w:r>
      <w:r w:rsidR="00F50DAA" w:rsidRPr="00E056AE">
        <w:rPr>
          <w:rFonts w:cstheme="minorHAnsi"/>
        </w:rPr>
        <w:fldChar w:fldCharType="separate"/>
      </w:r>
      <w:r w:rsidR="00F50DAA" w:rsidRPr="00E056AE">
        <w:rPr>
          <w:rFonts w:cstheme="minorHAnsi"/>
          <w:noProof/>
          <w:vertAlign w:val="superscript"/>
        </w:rPr>
        <w:t>5</w:t>
      </w:r>
      <w:r w:rsidR="00F50DAA" w:rsidRPr="00E056AE">
        <w:rPr>
          <w:rFonts w:cstheme="minorHAnsi"/>
        </w:rPr>
        <w:fldChar w:fldCharType="end"/>
      </w:r>
      <w:r w:rsidR="000270EF" w:rsidRPr="00E056AE">
        <w:rPr>
          <w:rFonts w:cstheme="minorHAnsi"/>
        </w:rPr>
        <w:t xml:space="preserve"> The challenges facing low tuberculosis-incidence countries in eliminating TB, like all countries, are complex, dynamic, and multifactorial. However, the key challenges which are particularly pertinent to these countries include: The concentration of TB in vulnerable groups; the increasing importance of progression from LTBI to TB (Vs. transmission); cross-border migration; and securing political commitment to universal healthcare access, and effective TB service planning and delivery.</w:t>
      </w:r>
      <w:r w:rsidR="000270EF" w:rsidRPr="00E056AE">
        <w:rPr>
          <w:rFonts w:cstheme="minorHAnsi"/>
        </w:rPr>
        <w:fldChar w:fldCharType="begin" w:fldLock="1"/>
      </w:r>
      <w:r w:rsidR="002F7B3C" w:rsidRPr="00E056AE">
        <w:rPr>
          <w:rFonts w:cstheme="minorHAnsi"/>
        </w:rPr>
        <w:instrText>ADDIN CSL_CITATION {"citationItems":[{"id":"ITEM-1","itemData":{"ISBN":"9789241507707","author":[{"dropping-particle":"","family":"World Health Organization","given":"","non-dropping-particle":"","parse-names":false,"suffix":""}],"id":"ITEM-1","issued":{"date-parts":[["2014"]]},"publisher-place":"Geneva","title":"Towards tuberculosis elimination: an action framework for low-incidence countries","type":"report"},"uris":["http://www.mendeley.com/documents/?uuid=3c600552-4cb6-3a0c-81e2-36c68cea0299"]}],"mendeley":{"formattedCitation":"&lt;sup&gt;5&lt;/sup&gt;","plainTextFormattedCitation":"5","previouslyFormattedCitation":"&lt;sup&gt;5&lt;/sup&gt;"},"properties":{"noteIndex":0},"schema":"https://github.com/citation-style-language/schema/raw/master/csl-citation.json"}</w:instrText>
      </w:r>
      <w:r w:rsidR="000270EF" w:rsidRPr="00E056AE">
        <w:rPr>
          <w:rFonts w:cstheme="minorHAnsi"/>
        </w:rPr>
        <w:fldChar w:fldCharType="separate"/>
      </w:r>
      <w:r w:rsidR="000270EF" w:rsidRPr="00E056AE">
        <w:rPr>
          <w:rFonts w:cstheme="minorHAnsi"/>
          <w:noProof/>
          <w:vertAlign w:val="superscript"/>
        </w:rPr>
        <w:t>5</w:t>
      </w:r>
      <w:r w:rsidR="000270EF" w:rsidRPr="00E056AE">
        <w:rPr>
          <w:rFonts w:cstheme="minorHAnsi"/>
        </w:rPr>
        <w:fldChar w:fldCharType="end"/>
      </w:r>
    </w:p>
    <w:p w14:paraId="78D1B39E" w14:textId="77777777" w:rsidR="00821326" w:rsidRPr="00E056AE" w:rsidRDefault="000270EF" w:rsidP="004D0DEC">
      <w:pPr>
        <w:rPr>
          <w:rFonts w:cstheme="minorHAnsi"/>
        </w:rPr>
      </w:pPr>
      <w:r w:rsidRPr="00E056AE">
        <w:rPr>
          <w:rFonts w:cstheme="minorHAnsi"/>
        </w:rPr>
        <w:t>One such low tuberculosis-incidence country which exemplifies the situation many of these nations currently find themselves in is the United Kingdom.</w:t>
      </w:r>
      <w:r w:rsidR="00952AFC" w:rsidRPr="00E056AE">
        <w:rPr>
          <w:rFonts w:cstheme="minorHAnsi"/>
        </w:rPr>
        <w:t xml:space="preserve"> The UK has relatively few TB cases, with 5,102 incident cases reported in England in 2017.</w:t>
      </w:r>
      <w:r w:rsidR="00B24C54" w:rsidRPr="00E056AE">
        <w:rPr>
          <w:rFonts w:cstheme="minorHAnsi"/>
        </w:rPr>
        <w:fldChar w:fldCharType="begin" w:fldLock="1"/>
      </w:r>
      <w:r w:rsidRPr="00E056AE">
        <w:rPr>
          <w:rFonts w:cstheme="minorHAnsi"/>
        </w:rPr>
        <w:instrText>ADDIN CSL_CITATION {"citationItems":[{"id":"ITEM-1","itemData":{"author":[{"dropping-particle":"","family":"Public Health England","given":"","non-dropping-particle":"","parse-names":false,"suffix":""}],"id":"ITEM-1","issued":{"date-parts":[["2018"]]},"title":"Tuberculosis in England: 2018","type":"report"},"uris":["http://www.mendeley.com/documents/?uuid=dcfc11e6-029b-4ff6-a03e-a4c67160ed64"]}],"mendeley":{"formattedCitation":"&lt;sup&gt;6&lt;/sup&gt;","plainTextFormattedCitation":"6","previouslyFormattedCitation":"&lt;sup&gt;6&lt;/sup&gt;"},"properties":{"noteIndex":0},"schema":"https://github.com/citation-style-language/schema/raw/master/csl-citation.json"}</w:instrText>
      </w:r>
      <w:r w:rsidR="00B24C54" w:rsidRPr="00E056AE">
        <w:rPr>
          <w:rFonts w:cstheme="minorHAnsi"/>
        </w:rPr>
        <w:fldChar w:fldCharType="separate"/>
      </w:r>
      <w:r w:rsidR="00F50DAA" w:rsidRPr="00E056AE">
        <w:rPr>
          <w:rFonts w:cstheme="minorHAnsi"/>
          <w:noProof/>
          <w:vertAlign w:val="superscript"/>
        </w:rPr>
        <w:t>6</w:t>
      </w:r>
      <w:r w:rsidR="00B24C54" w:rsidRPr="00E056AE">
        <w:rPr>
          <w:rFonts w:cstheme="minorHAnsi"/>
        </w:rPr>
        <w:fldChar w:fldCharType="end"/>
      </w:r>
      <w:r w:rsidR="00B24C54" w:rsidRPr="00E056AE">
        <w:rPr>
          <w:rFonts w:cstheme="minorHAnsi"/>
        </w:rPr>
        <w:t xml:space="preserve"> </w:t>
      </w:r>
      <w:r w:rsidR="00952AFC" w:rsidRPr="00E056AE">
        <w:rPr>
          <w:rFonts w:cstheme="minorHAnsi"/>
        </w:rPr>
        <w:t xml:space="preserve">However, whilst </w:t>
      </w:r>
      <w:r w:rsidR="004D0DEC" w:rsidRPr="00E056AE">
        <w:rPr>
          <w:rFonts w:cstheme="minorHAnsi"/>
        </w:rPr>
        <w:t>classified as a low tuberculosis-incidence country, the UK has</w:t>
      </w:r>
      <w:r w:rsidR="00B24C54" w:rsidRPr="00E056AE">
        <w:rPr>
          <w:rFonts w:cstheme="minorHAnsi"/>
        </w:rPr>
        <w:t xml:space="preserve"> one of the highest</w:t>
      </w:r>
      <w:r w:rsidR="004D0DEC" w:rsidRPr="00E056AE">
        <w:rPr>
          <w:rFonts w:cstheme="minorHAnsi"/>
        </w:rPr>
        <w:t xml:space="preserve"> overall</w:t>
      </w:r>
      <w:r w:rsidR="00B24C54" w:rsidRPr="00E056AE">
        <w:rPr>
          <w:rFonts w:cstheme="minorHAnsi"/>
        </w:rPr>
        <w:t xml:space="preserve"> incidence rates for TB in Western Europe</w:t>
      </w:r>
      <w:r w:rsidR="004D0DEC" w:rsidRPr="00E056AE">
        <w:rPr>
          <w:rFonts w:cstheme="minorHAnsi"/>
        </w:rPr>
        <w:t>.</w:t>
      </w:r>
      <w:r w:rsidR="00B24C54" w:rsidRPr="00E056AE">
        <w:rPr>
          <w:rFonts w:cstheme="minorHAnsi"/>
        </w:rPr>
        <w:fldChar w:fldCharType="begin" w:fldLock="1"/>
      </w:r>
      <w:r w:rsidRPr="00E056AE">
        <w:rPr>
          <w:rFonts w:cstheme="minorHAnsi"/>
        </w:rPr>
        <w:instrText>ADDIN CSL_CITATION {"citationItems":[{"id":"ITEM-1","itemData":{"URL":"http://www.euro.who.int/en/health-topics/communicable-diseases/tuberculosis/data-and-statistics","accessed":{"date-parts":[["2018","12","7"]]},"author":[{"dropping-particle":"","family":"World Health Organization","given":"","non-dropping-particle":"","parse-names":false,"suffix":""}],"id":"ITEM-1","issued":{"date-parts":[["2018","12","7"]]},"publisher":"World Health Organization","title":"Basic facts on Tuberculosis (TB) in the WHO European Region","type":"webpage"},"uris":["http://www.mendeley.com/documents/?uuid=6e0b301e-2888-3f4c-89f3-4dd7b117da8d"]}],"mendeley":{"formattedCitation":"&lt;sup&gt;7&lt;/sup&gt;","plainTextFormattedCitation":"7","previouslyFormattedCitation":"&lt;sup&gt;7&lt;/sup&gt;"},"properties":{"noteIndex":0},"schema":"https://github.com/citation-style-language/schema/raw/master/csl-citation.json"}</w:instrText>
      </w:r>
      <w:r w:rsidR="00B24C54" w:rsidRPr="00E056AE">
        <w:rPr>
          <w:rFonts w:cstheme="minorHAnsi"/>
        </w:rPr>
        <w:fldChar w:fldCharType="separate"/>
      </w:r>
      <w:r w:rsidR="00F50DAA" w:rsidRPr="00E056AE">
        <w:rPr>
          <w:rFonts w:cstheme="minorHAnsi"/>
          <w:noProof/>
          <w:vertAlign w:val="superscript"/>
        </w:rPr>
        <w:t>7</w:t>
      </w:r>
      <w:r w:rsidR="00B24C54" w:rsidRPr="00E056AE">
        <w:rPr>
          <w:rFonts w:cstheme="minorHAnsi"/>
        </w:rPr>
        <w:fldChar w:fldCharType="end"/>
      </w:r>
      <w:r w:rsidR="004D0DEC" w:rsidRPr="00E056AE">
        <w:rPr>
          <w:rFonts w:cstheme="minorHAnsi"/>
        </w:rPr>
        <w:t xml:space="preserve"> The UK TB figures are also, unsurprisingly, affected by the key challenges for all low incidence-TB countries outlined previously. The TB in England report 2018 </w:t>
      </w:r>
      <w:r w:rsidR="00FE2DCF" w:rsidRPr="00E056AE">
        <w:rPr>
          <w:rFonts w:cstheme="minorHAnsi"/>
        </w:rPr>
        <w:t>highlights these</w:t>
      </w:r>
      <w:r w:rsidR="004D0DEC" w:rsidRPr="00E056AE">
        <w:rPr>
          <w:rFonts w:cstheme="minorHAnsi"/>
        </w:rPr>
        <w:t xml:space="preserve"> challenges: Vulnerable populations suffer an inequitable burden of TB, the 10% most deprived individuals in the UK have a TB rate over 7 times higher than that of the 10% least deprived. Furthermore, 13% of TB notifications were among those with a social risk factor (classified as alcohol misuse, drug misuse, homelessness </w:t>
      </w:r>
      <w:r w:rsidR="004D0DEC" w:rsidRPr="00E056AE">
        <w:rPr>
          <w:rFonts w:cstheme="minorHAnsi"/>
        </w:rPr>
        <w:lastRenderedPageBreak/>
        <w:t>and/or imprisonment). Progression from LTBI to TB is now a major consideration</w:t>
      </w:r>
      <w:r w:rsidR="00FE2DCF" w:rsidRPr="00E056AE">
        <w:rPr>
          <w:rFonts w:cstheme="minorHAnsi"/>
        </w:rPr>
        <w:t xml:space="preserve"> compared to transmission. Indicators of transmission including genotyping clusters, counting of new clusters and rate of TB transmission among children born in the UK, have dropped to their lowest recorded levels. </w:t>
      </w:r>
    </w:p>
    <w:p w14:paraId="7E278450" w14:textId="6152382F" w:rsidR="00821326" w:rsidRPr="00E056AE" w:rsidRDefault="00FE2DCF" w:rsidP="004D0DEC">
      <w:pPr>
        <w:rPr>
          <w:rFonts w:cstheme="minorHAnsi"/>
          <w:szCs w:val="22"/>
        </w:rPr>
      </w:pPr>
      <w:r w:rsidRPr="00E056AE">
        <w:rPr>
          <w:rFonts w:cstheme="minorHAnsi"/>
          <w:szCs w:val="22"/>
        </w:rPr>
        <w:t>Cross-border migration</w:t>
      </w:r>
      <w:r w:rsidR="00821326" w:rsidRPr="00E056AE">
        <w:rPr>
          <w:rFonts w:cstheme="minorHAnsi"/>
          <w:szCs w:val="22"/>
        </w:rPr>
        <w:t>, and the influence of migrants on TB numbers also</w:t>
      </w:r>
      <w:r w:rsidRPr="00E056AE">
        <w:rPr>
          <w:rFonts w:cstheme="minorHAnsi"/>
          <w:szCs w:val="22"/>
        </w:rPr>
        <w:t xml:space="preserve"> continues to play a </w:t>
      </w:r>
      <w:r w:rsidR="00821326" w:rsidRPr="00E056AE">
        <w:rPr>
          <w:rFonts w:cstheme="minorHAnsi"/>
          <w:szCs w:val="22"/>
        </w:rPr>
        <w:t>substantial role</w:t>
      </w:r>
      <w:r w:rsidRPr="00E056AE">
        <w:rPr>
          <w:rFonts w:cstheme="minorHAnsi"/>
          <w:szCs w:val="22"/>
        </w:rPr>
        <w:t xml:space="preserve"> in the UK TB scenario, in 2017, 71% of TB cases were among </w:t>
      </w:r>
      <w:r w:rsidR="00256261" w:rsidRPr="00E056AE">
        <w:rPr>
          <w:rFonts w:cstheme="minorHAnsi"/>
          <w:szCs w:val="22"/>
        </w:rPr>
        <w:t>migrants, defined as individuals</w:t>
      </w:r>
      <w:r w:rsidRPr="00E056AE">
        <w:rPr>
          <w:rFonts w:cstheme="minorHAnsi"/>
          <w:szCs w:val="22"/>
        </w:rPr>
        <w:t xml:space="preserve"> born outside the UK, with a notification rate 13 times higher than in the UK-born population, making foreign-born individuals a key demographic in tackling TB in the UK.</w:t>
      </w:r>
      <w:r w:rsidR="00821326" w:rsidRPr="00E056AE">
        <w:rPr>
          <w:rFonts w:cstheme="minorHAnsi"/>
          <w:szCs w:val="22"/>
        </w:rPr>
        <w:t xml:space="preserve"> Underlying the disproportionate numbers</w:t>
      </w:r>
      <w:r w:rsidRPr="00E056AE">
        <w:rPr>
          <w:rFonts w:cstheme="minorHAnsi"/>
          <w:szCs w:val="22"/>
        </w:rPr>
        <w:t xml:space="preserve"> </w:t>
      </w:r>
      <w:r w:rsidR="003B2C34" w:rsidRPr="00E056AE">
        <w:rPr>
          <w:rFonts w:cstheme="minorHAnsi"/>
          <w:szCs w:val="22"/>
        </w:rPr>
        <w:t xml:space="preserve">of migrants suffering TB are issues surrounding access to care, equity of care, and wider societal and cultural factors. </w:t>
      </w:r>
      <w:r w:rsidR="003B2C34" w:rsidRPr="00E056AE">
        <w:rPr>
          <w:rFonts w:ascii="Arial" w:hAnsi="Arial" w:cs="Arial"/>
          <w:szCs w:val="22"/>
        </w:rPr>
        <w:t xml:space="preserve">Whilst migrants as a group have come under increasing focus in specific TB control strategies, there has been a lack of clarity in health initiatives globally as to the priorities for improving care – and ultimately treatment outcomes - in these population. </w:t>
      </w:r>
      <w:r w:rsidR="003B2C34" w:rsidRPr="00E056AE">
        <w:rPr>
          <w:rFonts w:cstheme="minorHAnsi"/>
          <w:szCs w:val="22"/>
        </w:rPr>
        <w:t>Indeed, previous research has shown that equity of care and the appropriate provision of information are</w:t>
      </w:r>
      <w:r w:rsidR="009553AE" w:rsidRPr="00E056AE">
        <w:rPr>
          <w:rFonts w:cstheme="minorHAnsi"/>
          <w:szCs w:val="22"/>
        </w:rPr>
        <w:t xml:space="preserve"> considered</w:t>
      </w:r>
      <w:r w:rsidR="003B2C34" w:rsidRPr="00E056AE">
        <w:rPr>
          <w:rFonts w:cstheme="minorHAnsi"/>
          <w:szCs w:val="22"/>
        </w:rPr>
        <w:t xml:space="preserve"> key facets in providing migrant-focused healthcare, but may currently be neglected.</w:t>
      </w:r>
      <w:r w:rsidR="003B2C34" w:rsidRPr="00E056AE">
        <w:rPr>
          <w:rFonts w:cstheme="minorHAnsi"/>
          <w:szCs w:val="22"/>
        </w:rPr>
        <w:fldChar w:fldCharType="begin" w:fldLock="1"/>
      </w:r>
      <w:r w:rsidR="009553AE" w:rsidRPr="00E056AE">
        <w:rPr>
          <w:rFonts w:cstheme="minorHAnsi"/>
          <w:szCs w:val="22"/>
        </w:rPr>
        <w:instrText>ADDIN CSL_CITATION {"citationItems":[{"id":"ITEM-1","itemData":{"DOI":"10.1186/1471-2458-11-699","ISSN":"1471-2458","author":[{"dropping-particle":"","family":"Devillé","given":"Walter","non-dropping-particle":"","parse-names":false,"suffix":""},{"dropping-particle":"","family":"Greacen","given":"Tim","non-dropping-particle":"","parse-names":false,"suffix":""},{"dropping-particle":"","family":"Bogic","given":"Marija","non-dropping-particle":"","parse-names":false,"suffix":""},{"dropping-particle":"","family":"Dauvrin","given":"Marie","non-dropping-particle":"","parse-names":false,"suffix":""},{"dropping-particle":"","family":"Dias","given":"Sónia","non-dropping-particle":"","parse-names":false,"suffix":""},{"dropping-particle":"","family":"Gaddini","given":"Andrea","non-dropping-particle":"","parse-names":false,"suffix":""},{"dropping-particle":"","family":"Jensen","given":"Natasja Koitzsch","non-dropping-particle":"","parse-names":false,"suffix":""},{"dropping-particle":"","family":"Karamanidou","given":"Christina","non-dropping-particle":"","parse-names":false,"suffix":""},{"dropping-particle":"","family":"Kluge","given":"Ulrike","non-dropping-particle":"","parse-names":false,"suffix":""},{"dropping-particle":"","family":"Mertaniemi","given":"Ritva","non-dropping-particle":"","parse-names":false,"suffix":""},{"dropping-particle":"","family":"i Riera","given":"Rosa Puigpinós","non-dropping-particle":"","parse-names":false,"suffix":""},{"dropping-particle":"","family":"Sárváry","given":"Attila","non-dropping-particle":"","parse-names":false,"suffix":""},{"dropping-particle":"","family":"Soares","given":"Joaquim JF","non-dropping-particle":"","parse-names":false,"suffix":""},{"dropping-particle":"","family":"Stankunas","given":"Mindaugas","non-dropping-particle":"","parse-names":false,"suffix":""},{"dropping-particle":"","family":"Straßmayr","given":"Christa","non-dropping-particle":"","parse-names":false,"suffix":""},{"dropping-particle":"","family":"Welbel","given":"Marta","non-dropping-particle":"","parse-names":false,"suffix":""},{"dropping-particle":"","family":"Priebe","given":"Stefan","non-dropping-particle":"","parse-names":false,"suffix":""}],"container-title":"BMC Public Health","id":"ITEM-1","issue":"1","issued":{"date-parts":[["2011","12","13"]]},"note":"references extracted","page":"699","title":"Health care for immigrants in Europe: Is there still consensus among country experts about principles of good practice? A Delphi study","type":"article-journal","volume":"11"},"uris":["http://www.mendeley.com/documents/?uuid=8083bd40-84bb-3d39-997d-d1f046987b80"]}],"mendeley":{"formattedCitation":"&lt;sup&gt;8&lt;/sup&gt;","plainTextFormattedCitation":"8","previouslyFormattedCitation":"&lt;sup&gt;8&lt;/sup&gt;"},"properties":{"noteIndex":0},"schema":"https://github.com/citation-style-language/schema/raw/master/csl-citation.json"}</w:instrText>
      </w:r>
      <w:r w:rsidR="003B2C34" w:rsidRPr="00E056AE">
        <w:rPr>
          <w:rFonts w:cstheme="minorHAnsi"/>
          <w:szCs w:val="22"/>
        </w:rPr>
        <w:fldChar w:fldCharType="separate"/>
      </w:r>
      <w:r w:rsidR="003B2C34" w:rsidRPr="00E056AE">
        <w:rPr>
          <w:rFonts w:cstheme="minorHAnsi"/>
          <w:noProof/>
          <w:szCs w:val="22"/>
          <w:vertAlign w:val="superscript"/>
        </w:rPr>
        <w:t>8</w:t>
      </w:r>
      <w:r w:rsidR="003B2C34" w:rsidRPr="00E056AE">
        <w:rPr>
          <w:rFonts w:cstheme="minorHAnsi"/>
          <w:szCs w:val="22"/>
        </w:rPr>
        <w:fldChar w:fldCharType="end"/>
      </w:r>
      <w:r w:rsidR="009553AE" w:rsidRPr="00E056AE">
        <w:rPr>
          <w:rFonts w:cstheme="minorHAnsi"/>
          <w:szCs w:val="22"/>
        </w:rPr>
        <w:t xml:space="preserve"> Complexities surrounding migrants legal status, for example, in the case of asylum-seekers, can also have a detrimental effect on engagement with healthcare services, and adherence to treatment, and as a consequence negatively impact overall treatment outcomes.</w:t>
      </w:r>
      <w:r w:rsidR="009553AE" w:rsidRPr="00E056AE">
        <w:rPr>
          <w:rFonts w:cstheme="minorHAnsi"/>
          <w:szCs w:val="22"/>
        </w:rPr>
        <w:fldChar w:fldCharType="begin" w:fldLock="1"/>
      </w:r>
      <w:r w:rsidR="009553AE" w:rsidRPr="00E056AE">
        <w:rPr>
          <w:rFonts w:cstheme="minorHAnsi"/>
          <w:szCs w:val="22"/>
        </w:rPr>
        <w:instrText>ADDIN CSL_CITATION {"citationItems":[{"id":"ITEM-1","itemData":{"DOI":"10.1093/trstmh/trw025","ISBN":"1878-3503 0035-9203","ISSN":"18783503","PMID":"27198210","abstract":"Background: Foreign-born populations carry a significant TB burden in low-prevalence countries, composing over half of all cases in parts of Europe and North America. This study systematically reviewed evidence of risk factors for nonadherence to TB drug therapy in this group. Methods: On 28 October 2013, MEDLINE, CINAHL, Embase, PsychINFO and ProQuest were systematically searched for studies examining adherence in foreign-born populations with TB. Grey literature and reference lists were hand-searched. Risk factor studies were selected for inclusion if they consisted of at least 95% foreign-born populations. Results: Of 1761 studies identified in the search, 20 were included in the risk factor review. Undocumented immigration status, older age, and social risk factors were consistently correlated with nonadherence; gender, ethnicity, immigration time, education level, adverse side effects, and HIV status were inconsistently corre-lated; and behavioural risk factors and marital status were consistently not correlated. Conclusions: This review emphasizes documentation status as a risk factor candidate for further investigation.","author":[{"dropping-particle":"","family":"Lin","given":"Stephanie","non-dropping-particle":"","parse-names":false,"suffix":""},{"dropping-particle":"","family":"Melendez-Torres","given":"G. J.","non-dropping-particle":"","parse-names":false,"suffix":""}],"container-title":"Transactions of the Royal Society of Tropical Medicine and Hygiene","id":"ITEM-1","issue":"5","issued":{"date-parts":[["2016"]]},"note":"references extracted","page":"268-280","title":"Systematic review of risk factors for nonadherence to TB treatment in immigrant populations","type":"article-journal","volume":"110"},"uris":["http://www.mendeley.com/documents/?uuid=6f692fef-3371-4a65-89e6-d4a8ddfc5ded"]},{"id":"ITEM-2","itemData":{"DOI":"10.1371/journal.pone.0082440","ISSN":"1932-6203","PMID":"24349284","abstract":"BACKGROUND The re-emergence of tuberculosis (TB) in low-incidence countries and its disproportionate burden on immigrants is a public health concern posing specific social and ethical challenges. This review explores perceptions, knowledge, attitudes and treatment adherence behaviour relating to TB and their social implications as reported in the qualitative literature. METHODS Systematic review in four electronic databases. Findings from thirty selected studies extracted, tabulated, compared and synthesized. FINDINGS TB was attributed to many non-exclusive causes including air-born transmission of bacteria, genetics, malnutrition, excessive work, irresponsible lifestyles, casual contact with infected persons or objects; and exposure to low temperatures, dirt, stress and witchcraft. Perceived as curable but potentially lethal and highly contagious, there was confusion around a condition surrounded by fears. A range of economic, legislative, cultural, social and health system barriers could delay treatment seeking. Fears of deportation and having contacts traced could prevent individuals from seeking medical assistance. Once on treatment, family support and \"the personal touch\" of health providers emerged as key factors facilitating adherence. The concept of latent infection was difficult to comprehend and while TB screening was often seen as a socially responsible act, it could be perceived as discriminatory. Immigration and the infectiousness of TB mutually reinforced each another exacerbating stigma. This was further aggravated by indirect costs such as losing a job, being evicted by a landlord or not being able to attend school. CONCLUSIONS Understanding immigrants' views of TB and the obstacles that they face when accessing the health system and adhering to a treatment programme-taking into consideration their previous experiences at countries of origin as well as the social, economic and legislative context in which they live at host countries- has an important role and should be considered in the design, evaluation and adaptation of programmes.","author":[{"dropping-particle":"","family":"Abarca Tomás","given":"Bruno","non-dropping-particle":"","parse-names":false,"suffix":""},{"dropping-particle":"","family":"Pell","given":"Christopher","non-dropping-particle":"","parse-names":false,"suffix":""},{"dropping-particle":"","family":"Bueno Cavanillas","given":"Aurora","non-dropping-particle":"","parse-names":false,"suffix":""},{"dropping-particle":"","family":"Guillén Solvas","given":"José","non-dropping-particle":"","parse-names":false,"suffix":""},{"dropping-particle":"","family":"Pool","given":"Robert","non-dropping-particle":"","parse-names":false,"suffix":""},{"dropping-particle":"","family":"Roura","given":"María","non-dropping-particle":"","parse-names":false,"suffix":""}],"container-title":"PloS one","id":"ITEM-2","issue":"12","issued":{"date-parts":[["2013"]]},"page":"e82440","publisher":"Public Library of Science","title":"Tuberculosis in migrant populations. A systematic review of the qualitative literature.","type":"article-journal","volume":"8"},"uris":["http://www.mendeley.com/documents/?uuid=4d38aa03-6da7-37c5-a98d-640f99365182"]}],"mendeley":{"formattedCitation":"&lt;sup&gt;9,10&lt;/sup&gt;","plainTextFormattedCitation":"9,10","previouslyFormattedCitation":"&lt;sup&gt;9,10&lt;/sup&gt;"},"properties":{"noteIndex":0},"schema":"https://github.com/citation-style-language/schema/raw/master/csl-citation.json"}</w:instrText>
      </w:r>
      <w:r w:rsidR="009553AE" w:rsidRPr="00E056AE">
        <w:rPr>
          <w:rFonts w:cstheme="minorHAnsi"/>
          <w:szCs w:val="22"/>
        </w:rPr>
        <w:fldChar w:fldCharType="separate"/>
      </w:r>
      <w:r w:rsidR="009553AE" w:rsidRPr="00E056AE">
        <w:rPr>
          <w:rFonts w:cstheme="minorHAnsi"/>
          <w:noProof/>
          <w:szCs w:val="22"/>
          <w:vertAlign w:val="superscript"/>
        </w:rPr>
        <w:t>9,10</w:t>
      </w:r>
      <w:r w:rsidR="009553AE" w:rsidRPr="00E056AE">
        <w:rPr>
          <w:rFonts w:cstheme="minorHAnsi"/>
          <w:szCs w:val="22"/>
        </w:rPr>
        <w:fldChar w:fldCharType="end"/>
      </w:r>
      <w:r w:rsidR="0006015E" w:rsidRPr="00E056AE">
        <w:rPr>
          <w:rFonts w:cstheme="minorHAnsi"/>
          <w:szCs w:val="22"/>
        </w:rPr>
        <w:t xml:space="preserve">  </w:t>
      </w:r>
    </w:p>
    <w:p w14:paraId="75499350" w14:textId="31CA9249" w:rsidR="00E66B72" w:rsidRPr="00E056AE" w:rsidRDefault="002F7B3C" w:rsidP="008A3141">
      <w:pPr>
        <w:rPr>
          <w:rFonts w:cstheme="minorHAnsi"/>
        </w:rPr>
      </w:pPr>
      <w:r w:rsidRPr="00E056AE">
        <w:rPr>
          <w:rFonts w:cstheme="minorHAnsi"/>
        </w:rPr>
        <w:t>The UK has had comprehensive TB screening and treatment guidelines for many years, whilst those regarding LTBI have been evolving more recently with current UK guidelines being implemented in the last few years.</w:t>
      </w:r>
      <w:r w:rsidRPr="00E056AE">
        <w:rPr>
          <w:rFonts w:cstheme="minorHAnsi"/>
        </w:rPr>
        <w:fldChar w:fldCharType="begin" w:fldLock="1"/>
      </w:r>
      <w:r w:rsidR="009553AE" w:rsidRPr="00E056AE">
        <w:rPr>
          <w:rFonts w:cstheme="minorHAnsi"/>
        </w:rPr>
        <w:instrText xml:space="preserve">ADDIN CSL_CITATION {"citationItems":[{"id":"ITEM-1","itemData":{"id":"ITEM-1","issued":{"date-parts":[["0"]]},"publisher":"NICE","title":"Tuberculosis | Guidance and guidelines | NICE","type":"article-journal"},"uris":["http://www.mendeley.com/documents/?uuid=2d7501d0-b2e9-3805-b289-5c965f315809"]},{"id":"ITEM-2","itemData":{"abstract":"have all contributed to the writing. We would like to acknowledge the contribution of the Queen Mary University London Clinical Effectiveness Group regarding the EMIS templates. For comments or suggestions, please email dominik.zenner@phe.gov.uk or tbscreening@phe.gov.uk Equality statement Promoting equality and addressing health inequalities are at the heart of NHS England's and PHE's values. Throughout the development of the policies and processes cited in this document, we have: </w:instrText>
      </w:r>
      <w:r w:rsidR="009553AE" w:rsidRPr="00E056AE">
        <w:rPr>
          <w:rFonts w:cstheme="minorHAnsi"/>
        </w:rPr>
        <w:instrText xml:space="preserve"> given due regard to the need to eliminate discrimination, harassment and victimisation, to advance equality of opportunity, and to foster good relations between people who share a relevant protected characteristic (as cited under the Equality Act 2010) and those who do not share it </w:instrText>
      </w:r>
      <w:r w:rsidR="009553AE" w:rsidRPr="00E056AE">
        <w:rPr>
          <w:rFonts w:cstheme="minorHAnsi"/>
        </w:rPr>
        <w:instrText> given regard to the need to reduce inequalities between patients in access to, and outcomes from, healthcare services and in securing that services are provided in an integrated way where this might reduce health inequalities Latent TB Testing and Treatment for Migrants: A practical guide for commissioners and practitioners 4","author":[{"dropping-particle":"","family":"Zenner","given":"Dominik","non-dropping-particle":"","parse-names":false,"suffix":""},{"dropping-particle":"","family":"Altass","given":"Lynn","non-dropping-particle":"","parse-names":false,"suffix":""},{"dropping-particle":"","family":"England","given":"Nhs","non-dropping-particle":"","parse-names":false,"suffix":""},{"dropping-particle":"","family":"Loutet","given":") Miranda","non-dropping-particle":"","parse-names":false,"suffix":""},{"dropping-particle":"","family":"Anderson","given":"Sarah","non-dropping-particle":"","parse-names":false,"suffix":""},{"dropping-particle":"","family":"Kunst","given":"Heinke","non-dropping-particle":"","parse-names":false,"suffix":""},{"dropping-particle":"","family":"Mcdonald","given":"Keith","non-dropping-particle":"","parse-names":false,"suffix":""},{"dropping-particle":"","family":"Trathan","given":"Duncan","non-dropping-particle":"","parse-names":false,"suffix":""}],"id":"ITEM-2","issued":{"date-parts":[["2015"]]},"title":"Latent TB Testing and Treatment for Migrants: A practical guide for","type":"report"},"uris":["http://www.mendeley.com/documents/?uuid=a2f640c3-e88f-3960-aef9-4c2e03f0aece"]}],"mendeley":{"formattedCitation":"&lt;sup&gt;11,12&lt;/sup&gt;","plainTextFormattedCitation":"11,12","previouslyFormattedCitation":"&lt;sup&gt;11,12&lt;/sup&gt;"},"properties":{"noteIndex":0},"schema":"https://github.com/citation-style-language/schema/raw/master/csl-citation.json"}</w:instrText>
      </w:r>
      <w:r w:rsidRPr="00E056AE">
        <w:rPr>
          <w:rFonts w:cstheme="minorHAnsi"/>
        </w:rPr>
        <w:fldChar w:fldCharType="separate"/>
      </w:r>
      <w:r w:rsidR="009553AE" w:rsidRPr="00E056AE">
        <w:rPr>
          <w:rFonts w:cstheme="minorHAnsi"/>
          <w:noProof/>
          <w:vertAlign w:val="superscript"/>
        </w:rPr>
        <w:t>11,12</w:t>
      </w:r>
      <w:r w:rsidRPr="00E056AE">
        <w:rPr>
          <w:rFonts w:cstheme="minorHAnsi"/>
        </w:rPr>
        <w:fldChar w:fldCharType="end"/>
      </w:r>
      <w:r w:rsidRPr="00E056AE">
        <w:rPr>
          <w:rFonts w:cstheme="minorHAnsi"/>
        </w:rPr>
        <w:t xml:space="preserve"> Screening for LTBI is predominantly focused on pre-entry screening of migrants from high-incidence countries, whilst treatment is offered to any individual testing positive for LTBI.</w:t>
      </w:r>
      <w:r w:rsidR="008539F1" w:rsidRPr="00E056AE">
        <w:rPr>
          <w:rFonts w:cstheme="minorHAnsi"/>
        </w:rPr>
        <w:t xml:space="preserve"> However, whilst LTBI treatment is now </w:t>
      </w:r>
      <w:r w:rsidR="00C03A1C" w:rsidRPr="00E056AE">
        <w:rPr>
          <w:rFonts w:cstheme="minorHAnsi"/>
        </w:rPr>
        <w:t>routinely offered to those testing positive</w:t>
      </w:r>
      <w:r w:rsidR="008539F1" w:rsidRPr="00E056AE">
        <w:rPr>
          <w:rFonts w:cstheme="minorHAnsi"/>
        </w:rPr>
        <w:t xml:space="preserve"> in the UK, the programmatic management, suppor</w:t>
      </w:r>
      <w:r w:rsidR="00C03A1C" w:rsidRPr="00E056AE">
        <w:rPr>
          <w:rFonts w:cstheme="minorHAnsi"/>
        </w:rPr>
        <w:t>t for</w:t>
      </w:r>
      <w:r w:rsidR="008539F1" w:rsidRPr="00E056AE">
        <w:rPr>
          <w:rFonts w:cstheme="minorHAnsi"/>
        </w:rPr>
        <w:t xml:space="preserve"> adherence to such treatments, and algorithms to test and treat LTBI are still under question and represent potentially significant research gaps.</w:t>
      </w:r>
      <w:r w:rsidR="008539F1" w:rsidRPr="00E056AE">
        <w:rPr>
          <w:rFonts w:cstheme="minorHAnsi"/>
        </w:rPr>
        <w:fldChar w:fldCharType="begin" w:fldLock="1"/>
      </w:r>
      <w:r w:rsidR="009553AE" w:rsidRPr="00E056AE">
        <w:rPr>
          <w:rFonts w:cstheme="minorHAnsi"/>
        </w:rPr>
        <w:instrText>ADDIN CSL_CITATION {"citationItems":[{"id":"ITEM-1","itemData":{"ISBN":"9789241548908","author":[{"dropping-particle":"","family":"World Health Organization","given":"","non-dropping-particle":"","parse-names":false,"suffix":""}],"id":"ITEM-1","issued":{"date-parts":[["2015"]]},"publisher-place":"Geneva","title":"Guidelines on the management of latent tuberculosis infection","type":"report"},"uris":["http://www.mendeley.com/documents/?uuid=f47d4ad0-8828-384e-9735-d78c4c0ca153"]}],"mendeley":{"formattedCitation":"&lt;sup&gt;13&lt;/sup&gt;","plainTextFormattedCitation":"13","previouslyFormattedCitation":"&lt;sup&gt;13&lt;/sup&gt;"},"properties":{"noteIndex":0},"schema":"https://github.com/citation-style-language/schema/raw/master/csl-citation.json"}</w:instrText>
      </w:r>
      <w:r w:rsidR="008539F1" w:rsidRPr="00E056AE">
        <w:rPr>
          <w:rFonts w:cstheme="minorHAnsi"/>
        </w:rPr>
        <w:fldChar w:fldCharType="separate"/>
      </w:r>
      <w:r w:rsidR="009553AE" w:rsidRPr="00E056AE">
        <w:rPr>
          <w:rFonts w:cstheme="minorHAnsi"/>
          <w:noProof/>
          <w:vertAlign w:val="superscript"/>
        </w:rPr>
        <w:t>13</w:t>
      </w:r>
      <w:r w:rsidR="008539F1" w:rsidRPr="00E056AE">
        <w:rPr>
          <w:rFonts w:cstheme="minorHAnsi"/>
        </w:rPr>
        <w:fldChar w:fldCharType="end"/>
      </w:r>
      <w:r w:rsidR="00BE102F" w:rsidRPr="00E056AE">
        <w:rPr>
          <w:rFonts w:cstheme="minorHAnsi"/>
        </w:rPr>
        <w:t xml:space="preserve"> </w:t>
      </w:r>
      <w:r w:rsidR="0006015E" w:rsidRPr="00E056AE">
        <w:rPr>
          <w:rFonts w:cstheme="minorHAnsi"/>
        </w:rPr>
        <w:t>Indeed, h</w:t>
      </w:r>
      <w:r w:rsidR="0006015E" w:rsidRPr="00E056AE">
        <w:rPr>
          <w:rFonts w:cstheme="minorHAnsi"/>
          <w:szCs w:val="22"/>
        </w:rPr>
        <w:t>ow to improve the engagement of migrants in TB and LTBI services and improve the delivery of care/treatment to this group to ensure successful treatment outcomes has yet to be fully elucidated</w:t>
      </w:r>
      <w:r w:rsidR="00010F17" w:rsidRPr="00E056AE">
        <w:rPr>
          <w:rFonts w:cstheme="minorHAnsi"/>
          <w:szCs w:val="22"/>
        </w:rPr>
        <w:t>, and therefore represents the target of this study.</w:t>
      </w:r>
      <w:r w:rsidR="0006015E" w:rsidRPr="00E056AE">
        <w:rPr>
          <w:rFonts w:cstheme="minorHAnsi"/>
          <w:szCs w:val="22"/>
        </w:rPr>
        <w:t>.</w:t>
      </w:r>
    </w:p>
    <w:p w14:paraId="7C8BE9B9" w14:textId="77777777" w:rsidR="008A3141" w:rsidRPr="00E056AE" w:rsidRDefault="008A3141" w:rsidP="008A3141">
      <w:pPr>
        <w:rPr>
          <w:rFonts w:cstheme="minorHAnsi"/>
        </w:rPr>
      </w:pPr>
    </w:p>
    <w:p w14:paraId="555D372B" w14:textId="3973427B" w:rsidR="00475FDA" w:rsidRPr="00E056AE" w:rsidRDefault="00475FDA" w:rsidP="003802A1">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2</w:t>
      </w:r>
      <w:r w:rsidRPr="00E056AE">
        <w:rPr>
          <w:rFonts w:asciiTheme="minorHAnsi" w:hAnsiTheme="minorHAnsi" w:cstheme="minorHAnsi"/>
          <w:color w:val="auto"/>
          <w:sz w:val="22"/>
          <w:szCs w:val="22"/>
        </w:rPr>
        <w:tab/>
        <w:t xml:space="preserve">RATIONALE </w:t>
      </w:r>
    </w:p>
    <w:p w14:paraId="64377D22" w14:textId="78A911B9" w:rsidR="00DC2140" w:rsidRPr="00E056AE" w:rsidRDefault="00C03A1C" w:rsidP="00DC2140">
      <w:pPr>
        <w:spacing w:line="240" w:lineRule="auto"/>
        <w:ind w:left="34"/>
        <w:rPr>
          <w:rFonts w:cstheme="minorHAnsi"/>
          <w:szCs w:val="22"/>
        </w:rPr>
      </w:pPr>
      <w:r w:rsidRPr="00E056AE">
        <w:rPr>
          <w:rFonts w:cstheme="minorHAnsi"/>
          <w:szCs w:val="22"/>
        </w:rPr>
        <w:t>The proposed research represents a timely and potentially significant contribution to the understanding of LTBI and TB care</w:t>
      </w:r>
      <w:r w:rsidR="000E5BC3" w:rsidRPr="00E056AE">
        <w:rPr>
          <w:rFonts w:cstheme="minorHAnsi"/>
          <w:szCs w:val="22"/>
        </w:rPr>
        <w:t xml:space="preserve"> experience</w:t>
      </w:r>
      <w:r w:rsidRPr="00E056AE">
        <w:rPr>
          <w:rFonts w:cstheme="minorHAnsi"/>
          <w:szCs w:val="22"/>
        </w:rPr>
        <w:t xml:space="preserve"> within the United Kingdom.</w:t>
      </w:r>
      <w:r w:rsidR="00760ED8" w:rsidRPr="00E056AE">
        <w:rPr>
          <w:rFonts w:cstheme="minorHAnsi"/>
          <w:szCs w:val="22"/>
        </w:rPr>
        <w:t xml:space="preserve"> Whilst similarly focused research might traditionally consider one demographic (such as patients, or staff) across one domain (LTBI or TB), our proposed research has a relatively broad scope,</w:t>
      </w:r>
      <w:r w:rsidR="00BE102F" w:rsidRPr="00E056AE">
        <w:rPr>
          <w:rFonts w:cstheme="minorHAnsi"/>
          <w:szCs w:val="22"/>
        </w:rPr>
        <w:t xml:space="preserve"> </w:t>
      </w:r>
      <w:r w:rsidR="00760ED8" w:rsidRPr="00E056AE">
        <w:rPr>
          <w:rFonts w:cstheme="minorHAnsi"/>
          <w:szCs w:val="22"/>
        </w:rPr>
        <w:t xml:space="preserve">in the sense we </w:t>
      </w:r>
      <w:r w:rsidR="00566220" w:rsidRPr="00E056AE">
        <w:rPr>
          <w:rFonts w:cstheme="minorHAnsi"/>
          <w:szCs w:val="22"/>
        </w:rPr>
        <w:t>are documenting the</w:t>
      </w:r>
      <w:r w:rsidR="00760ED8" w:rsidRPr="00E056AE">
        <w:rPr>
          <w:rFonts w:cstheme="minorHAnsi"/>
          <w:szCs w:val="22"/>
        </w:rPr>
        <w:t xml:space="preserve"> experiences and perspectives of </w:t>
      </w:r>
      <w:r w:rsidR="00566220" w:rsidRPr="00E056AE">
        <w:rPr>
          <w:rFonts w:cstheme="minorHAnsi"/>
          <w:szCs w:val="22"/>
        </w:rPr>
        <w:t xml:space="preserve">both </w:t>
      </w:r>
      <w:r w:rsidR="00760ED8" w:rsidRPr="00E056AE">
        <w:rPr>
          <w:rFonts w:cstheme="minorHAnsi"/>
          <w:szCs w:val="22"/>
        </w:rPr>
        <w:t xml:space="preserve">patients </w:t>
      </w:r>
      <w:r w:rsidR="00566220" w:rsidRPr="00E056AE">
        <w:rPr>
          <w:rFonts w:cstheme="minorHAnsi"/>
          <w:szCs w:val="22"/>
        </w:rPr>
        <w:t>and</w:t>
      </w:r>
      <w:r w:rsidR="00462E65" w:rsidRPr="00E056AE">
        <w:rPr>
          <w:rFonts w:cstheme="minorHAnsi"/>
          <w:szCs w:val="22"/>
        </w:rPr>
        <w:t xml:space="preserve"> </w:t>
      </w:r>
      <w:r w:rsidR="00B64FFF" w:rsidRPr="00E056AE">
        <w:rPr>
          <w:rFonts w:cstheme="minorHAnsi"/>
          <w:szCs w:val="22"/>
        </w:rPr>
        <w:t>health service</w:t>
      </w:r>
      <w:r w:rsidR="00760ED8" w:rsidRPr="00E056AE">
        <w:rPr>
          <w:rFonts w:cstheme="minorHAnsi"/>
          <w:szCs w:val="22"/>
        </w:rPr>
        <w:t xml:space="preserve"> providers</w:t>
      </w:r>
      <w:r w:rsidR="00566220" w:rsidRPr="00E056AE">
        <w:rPr>
          <w:rFonts w:cstheme="minorHAnsi"/>
          <w:szCs w:val="22"/>
        </w:rPr>
        <w:t xml:space="preserve"> </w:t>
      </w:r>
      <w:r w:rsidR="00760ED8" w:rsidRPr="00E056AE">
        <w:rPr>
          <w:rFonts w:cstheme="minorHAnsi"/>
          <w:szCs w:val="22"/>
        </w:rPr>
        <w:t>across LTBI and TB. Such a holistic consideration of the</w:t>
      </w:r>
      <w:r w:rsidR="00F74E17" w:rsidRPr="00E056AE">
        <w:rPr>
          <w:rFonts w:cstheme="minorHAnsi"/>
          <w:szCs w:val="22"/>
        </w:rPr>
        <w:t>se</w:t>
      </w:r>
      <w:r w:rsidR="00760ED8" w:rsidRPr="00E056AE">
        <w:rPr>
          <w:rFonts w:cstheme="minorHAnsi"/>
          <w:szCs w:val="22"/>
        </w:rPr>
        <w:t xml:space="preserve"> care pathway</w:t>
      </w:r>
      <w:r w:rsidR="00F74E17" w:rsidRPr="00E056AE">
        <w:rPr>
          <w:rFonts w:cstheme="minorHAnsi"/>
          <w:szCs w:val="22"/>
        </w:rPr>
        <w:t>s</w:t>
      </w:r>
      <w:r w:rsidR="00760ED8" w:rsidRPr="00E056AE">
        <w:rPr>
          <w:rFonts w:cstheme="minorHAnsi"/>
          <w:szCs w:val="22"/>
        </w:rPr>
        <w:t xml:space="preserve"> </w:t>
      </w:r>
      <w:r w:rsidR="0097517A" w:rsidRPr="00E056AE">
        <w:rPr>
          <w:rFonts w:cstheme="minorHAnsi"/>
          <w:szCs w:val="22"/>
        </w:rPr>
        <w:t xml:space="preserve">will result in a robust piece of research that examines in depth the challenges and triumphs of current TB and LTBI care in the UK, as seen from </w:t>
      </w:r>
      <w:r w:rsidR="0006015E" w:rsidRPr="00E056AE">
        <w:rPr>
          <w:rFonts w:cstheme="minorHAnsi"/>
          <w:szCs w:val="22"/>
        </w:rPr>
        <w:t>key stakeholders who include health-service professionals as well as migrants who have been affected by this disease</w:t>
      </w:r>
      <w:r w:rsidR="0097517A" w:rsidRPr="00E056AE">
        <w:rPr>
          <w:rFonts w:cstheme="minorHAnsi"/>
          <w:szCs w:val="22"/>
        </w:rPr>
        <w:t>.</w:t>
      </w:r>
      <w:r w:rsidR="00462E65" w:rsidRPr="00E056AE">
        <w:rPr>
          <w:rFonts w:cstheme="minorHAnsi"/>
          <w:szCs w:val="22"/>
        </w:rPr>
        <w:t xml:space="preserve"> </w:t>
      </w:r>
      <w:r w:rsidR="0006015E" w:rsidRPr="00E056AE">
        <w:rPr>
          <w:rFonts w:cstheme="minorHAnsi"/>
          <w:szCs w:val="22"/>
        </w:rPr>
        <w:t>R</w:t>
      </w:r>
      <w:r w:rsidR="00462E65" w:rsidRPr="00E056AE">
        <w:rPr>
          <w:rFonts w:cstheme="minorHAnsi"/>
          <w:szCs w:val="22"/>
        </w:rPr>
        <w:t xml:space="preserve">esearch rarely seeks the views of migrant patients, who are a particularly important group in the context of TB elimination in the UK, and so this research </w:t>
      </w:r>
      <w:r w:rsidR="0006015E" w:rsidRPr="00E056AE">
        <w:rPr>
          <w:rFonts w:cstheme="minorHAnsi"/>
          <w:szCs w:val="22"/>
        </w:rPr>
        <w:t>will generate</w:t>
      </w:r>
      <w:r w:rsidR="00462E65" w:rsidRPr="00E056AE">
        <w:rPr>
          <w:rFonts w:cstheme="minorHAnsi"/>
          <w:szCs w:val="22"/>
        </w:rPr>
        <w:t xml:space="preserve"> direct evidence of migrant patients</w:t>
      </w:r>
      <w:r w:rsidR="002554AB" w:rsidRPr="00E056AE">
        <w:rPr>
          <w:rFonts w:cstheme="minorHAnsi"/>
          <w:szCs w:val="22"/>
        </w:rPr>
        <w:t>’</w:t>
      </w:r>
      <w:r w:rsidR="00462E65" w:rsidRPr="00E056AE">
        <w:rPr>
          <w:rFonts w:cstheme="minorHAnsi"/>
          <w:szCs w:val="22"/>
        </w:rPr>
        <w:t xml:space="preserve"> views and experiences.</w:t>
      </w:r>
    </w:p>
    <w:p w14:paraId="747EB343" w14:textId="6E7F16AD" w:rsidR="00DC2140" w:rsidRPr="00E056AE" w:rsidRDefault="00DC2140" w:rsidP="00DC2140">
      <w:pPr>
        <w:spacing w:line="240" w:lineRule="auto"/>
        <w:ind w:left="34"/>
        <w:rPr>
          <w:rFonts w:cstheme="minorHAnsi"/>
          <w:szCs w:val="22"/>
        </w:rPr>
      </w:pPr>
      <w:r w:rsidRPr="00E056AE">
        <w:rPr>
          <w:rFonts w:cstheme="minorHAnsi"/>
          <w:szCs w:val="22"/>
        </w:rPr>
        <w:lastRenderedPageBreak/>
        <w:t>Whilst standard procedures and approaches to TB care have been in place for some time, there are still a number of challenges regarding reaching elimination in the UK, including delays to treatment initiation, adherence to treatment (particularly among individuals with social risk factors</w:t>
      </w:r>
      <w:r w:rsidR="00A348E4" w:rsidRPr="00E056AE">
        <w:rPr>
          <w:rFonts w:cstheme="minorHAnsi"/>
          <w:szCs w:val="22"/>
        </w:rPr>
        <w:t>, which may include migrants</w:t>
      </w:r>
      <w:r w:rsidRPr="00E056AE">
        <w:rPr>
          <w:rFonts w:cstheme="minorHAnsi"/>
          <w:szCs w:val="22"/>
        </w:rPr>
        <w:t>), and overall treatment completion,</w:t>
      </w:r>
      <w:r w:rsidRPr="00E056AE">
        <w:rPr>
          <w:rFonts w:cstheme="minorHAnsi"/>
          <w:szCs w:val="22"/>
        </w:rPr>
        <w:fldChar w:fldCharType="begin" w:fldLock="1"/>
      </w:r>
      <w:r w:rsidR="00A67859" w:rsidRPr="00E056AE">
        <w:rPr>
          <w:rFonts w:cstheme="minorHAnsi"/>
          <w:szCs w:val="22"/>
        </w:rPr>
        <w:instrText>ADDIN CSL_CITATION {"citationItems":[{"id":"ITEM-1","itemData":{"author":[{"dropping-particle":"","family":"Public Health England","given":"","non-dropping-particle":"","parse-names":false,"suffix":""}],"id":"ITEM-1","issued":{"date-parts":[["2018"]]},"title":"Tuberculosis in England: 2018","type":"report"},"uris":["http://www.mendeley.com/documents/?uuid=dcfc11e6-029b-4ff6-a03e-a4c67160ed64"]}],"mendeley":{"formattedCitation":"&lt;sup&gt;6&lt;/sup&gt;","plainTextFormattedCitation":"6","previouslyFormattedCitation":"&lt;sup&gt;6&lt;/sup&gt;"},"properties":{"noteIndex":0},"schema":"https://github.com/citation-style-language/schema/raw/master/csl-citation.json"}</w:instrText>
      </w:r>
      <w:r w:rsidRPr="00E056AE">
        <w:rPr>
          <w:rFonts w:cstheme="minorHAnsi"/>
          <w:szCs w:val="22"/>
        </w:rPr>
        <w:fldChar w:fldCharType="separate"/>
      </w:r>
      <w:r w:rsidRPr="00E056AE">
        <w:rPr>
          <w:rFonts w:cstheme="minorHAnsi"/>
          <w:noProof/>
          <w:szCs w:val="22"/>
          <w:vertAlign w:val="superscript"/>
        </w:rPr>
        <w:t>6</w:t>
      </w:r>
      <w:r w:rsidRPr="00E056AE">
        <w:rPr>
          <w:rFonts w:cstheme="minorHAnsi"/>
          <w:szCs w:val="22"/>
        </w:rPr>
        <w:fldChar w:fldCharType="end"/>
      </w:r>
      <w:r w:rsidRPr="00E056AE">
        <w:rPr>
          <w:rFonts w:cstheme="minorHAnsi"/>
          <w:szCs w:val="22"/>
        </w:rPr>
        <w:t xml:space="preserve"> all of which contribute to projections in which the UK will fail to eliminate TB as part of the End-TB strategy.</w:t>
      </w:r>
      <w:r w:rsidR="00A67859" w:rsidRPr="00E056AE">
        <w:rPr>
          <w:rFonts w:cstheme="minorHAnsi"/>
          <w:szCs w:val="22"/>
        </w:rPr>
        <w:fldChar w:fldCharType="begin" w:fldLock="1"/>
      </w:r>
      <w:r w:rsidR="009553AE" w:rsidRPr="00E056AE">
        <w:rPr>
          <w:rFonts w:cstheme="minorHAnsi"/>
          <w:szCs w:val="22"/>
        </w:rPr>
        <w:instrText>ADDIN CSL_CITATION {"citationItems":[{"id":"ITEM-1","itemData":{"URL":"http://www.who.int/tb/post2015_strategy/en/","accessed":{"date-parts":[["2017","7","4"]]},"author":[{"dropping-particle":"","family":"World Health Organization","given":"","non-dropping-particle":"","parse-names":false,"suffix":""}],"container-title":"WHO","id":"ITEM-1","issued":{"date-parts":[["2015"]]},"publisher":"World Health Organization","title":"WHO | WHO End TB Strategy","type":"webpage"},"uris":["http://www.mendeley.com/documents/?uuid=02fbcedc-8f63-3c87-9307-564b6e7978fd"]}],"mendeley":{"formattedCitation":"&lt;sup&gt;14&lt;/sup&gt;","plainTextFormattedCitation":"14","previouslyFormattedCitation":"&lt;sup&gt;14&lt;/sup&gt;"},"properties":{"noteIndex":0},"schema":"https://github.com/citation-style-language/schema/raw/master/csl-citation.json"}</w:instrText>
      </w:r>
      <w:r w:rsidR="00A67859" w:rsidRPr="00E056AE">
        <w:rPr>
          <w:rFonts w:cstheme="minorHAnsi"/>
          <w:szCs w:val="22"/>
        </w:rPr>
        <w:fldChar w:fldCharType="separate"/>
      </w:r>
      <w:r w:rsidR="009553AE" w:rsidRPr="00E056AE">
        <w:rPr>
          <w:rFonts w:cstheme="minorHAnsi"/>
          <w:noProof/>
          <w:szCs w:val="22"/>
          <w:vertAlign w:val="superscript"/>
        </w:rPr>
        <w:t>14</w:t>
      </w:r>
      <w:r w:rsidR="00A67859" w:rsidRPr="00E056AE">
        <w:rPr>
          <w:rFonts w:cstheme="minorHAnsi"/>
          <w:szCs w:val="22"/>
        </w:rPr>
        <w:fldChar w:fldCharType="end"/>
      </w:r>
      <w:r w:rsidR="00A67859" w:rsidRPr="00E056AE">
        <w:rPr>
          <w:rFonts w:cstheme="minorHAnsi"/>
          <w:szCs w:val="22"/>
        </w:rPr>
        <w:t xml:space="preserve"> Some current recommendations aimed to achieve ongoing reductions in TB incidence in the UK include the consideration of innovative approaches to improve</w:t>
      </w:r>
      <w:r w:rsidR="009553AE" w:rsidRPr="00E056AE">
        <w:rPr>
          <w:rFonts w:cstheme="minorHAnsi"/>
          <w:szCs w:val="22"/>
        </w:rPr>
        <w:t xml:space="preserve"> successful treatment outcomes, particularly among migrant patients who represent the largest demographic with TB</w:t>
      </w:r>
      <w:r w:rsidR="00A67859" w:rsidRPr="00E056AE">
        <w:rPr>
          <w:rFonts w:cstheme="minorHAnsi"/>
          <w:szCs w:val="22"/>
        </w:rPr>
        <w:t>.</w:t>
      </w:r>
      <w:r w:rsidR="00A67859" w:rsidRPr="00E056AE">
        <w:rPr>
          <w:rFonts w:cstheme="minorHAnsi"/>
          <w:szCs w:val="22"/>
        </w:rPr>
        <w:fldChar w:fldCharType="begin" w:fldLock="1"/>
      </w:r>
      <w:r w:rsidR="00EF5F6E" w:rsidRPr="00E056AE">
        <w:rPr>
          <w:rFonts w:cstheme="minorHAnsi"/>
          <w:szCs w:val="22"/>
        </w:rPr>
        <w:instrText>ADDIN CSL_CITATION {"citationItems":[{"id":"ITEM-1","itemData":{"author":[{"dropping-particle":"","family":"Public Health England","given":"","non-dropping-particle":"","parse-names":false,"suffix":""}],"id":"ITEM-1","issued":{"date-parts":[["2018"]]},"title":"Tuberculosis in England: 2018","type":"report"},"uris":["http://www.mendeley.com/documents/?uuid=dcfc11e6-029b-4ff6-a03e-a4c67160ed64"]}],"mendeley":{"formattedCitation":"&lt;sup&gt;6&lt;/sup&gt;","plainTextFormattedCitation":"6","previouslyFormattedCitation":"&lt;sup&gt;6&lt;/sup&gt;"},"properties":{"noteIndex":0},"schema":"https://github.com/citation-style-language/schema/raw/master/csl-citation.json"}</w:instrText>
      </w:r>
      <w:r w:rsidR="00A67859" w:rsidRPr="00E056AE">
        <w:rPr>
          <w:rFonts w:cstheme="minorHAnsi"/>
          <w:szCs w:val="22"/>
        </w:rPr>
        <w:fldChar w:fldCharType="separate"/>
      </w:r>
      <w:r w:rsidR="00A67859" w:rsidRPr="00E056AE">
        <w:rPr>
          <w:rFonts w:cstheme="minorHAnsi"/>
          <w:noProof/>
          <w:szCs w:val="22"/>
          <w:vertAlign w:val="superscript"/>
        </w:rPr>
        <w:t>6</w:t>
      </w:r>
      <w:r w:rsidR="00A67859" w:rsidRPr="00E056AE">
        <w:rPr>
          <w:rFonts w:cstheme="minorHAnsi"/>
          <w:szCs w:val="22"/>
        </w:rPr>
        <w:fldChar w:fldCharType="end"/>
      </w:r>
      <w:r w:rsidR="00A67859" w:rsidRPr="00E056AE">
        <w:rPr>
          <w:rFonts w:cstheme="minorHAnsi"/>
          <w:szCs w:val="22"/>
        </w:rPr>
        <w:t xml:space="preserve"> This research</w:t>
      </w:r>
      <w:r w:rsidR="00A348E4" w:rsidRPr="00E056AE">
        <w:rPr>
          <w:rFonts w:cstheme="minorHAnsi"/>
          <w:szCs w:val="22"/>
        </w:rPr>
        <w:t xml:space="preserve"> will specifically explore factors involved in successful treatment outcomes</w:t>
      </w:r>
      <w:r w:rsidR="009553AE" w:rsidRPr="00E056AE">
        <w:rPr>
          <w:rFonts w:cstheme="minorHAnsi"/>
          <w:szCs w:val="22"/>
        </w:rPr>
        <w:t xml:space="preserve"> among migrant patients</w:t>
      </w:r>
      <w:r w:rsidR="00A348E4" w:rsidRPr="00E056AE">
        <w:rPr>
          <w:rFonts w:cstheme="minorHAnsi"/>
          <w:szCs w:val="22"/>
        </w:rPr>
        <w:t xml:space="preserve"> and enable us to better understand the views of both</w:t>
      </w:r>
      <w:r w:rsidR="009553AE" w:rsidRPr="00E056AE">
        <w:rPr>
          <w:rFonts w:cstheme="minorHAnsi"/>
          <w:szCs w:val="22"/>
        </w:rPr>
        <w:t xml:space="preserve"> migrant</w:t>
      </w:r>
      <w:r w:rsidR="00A348E4" w:rsidRPr="00E056AE">
        <w:rPr>
          <w:rFonts w:cstheme="minorHAnsi"/>
          <w:szCs w:val="22"/>
        </w:rPr>
        <w:t xml:space="preserve"> patients and staff on this issue – data which will be used</w:t>
      </w:r>
      <w:r w:rsidR="00A67859" w:rsidRPr="00E056AE">
        <w:rPr>
          <w:rFonts w:cstheme="minorHAnsi"/>
          <w:szCs w:val="22"/>
        </w:rPr>
        <w:t xml:space="preserve"> </w:t>
      </w:r>
      <w:r w:rsidR="00A348E4" w:rsidRPr="00E056AE">
        <w:rPr>
          <w:rFonts w:cstheme="minorHAnsi"/>
          <w:szCs w:val="22"/>
        </w:rPr>
        <w:t>for</w:t>
      </w:r>
      <w:r w:rsidR="00A67859" w:rsidRPr="00E056AE">
        <w:rPr>
          <w:rFonts w:cstheme="minorHAnsi"/>
          <w:szCs w:val="22"/>
        </w:rPr>
        <w:t xml:space="preserve"> the development of future interventions</w:t>
      </w:r>
      <w:r w:rsidR="00A348E4" w:rsidRPr="00E056AE">
        <w:rPr>
          <w:rFonts w:cstheme="minorHAnsi"/>
          <w:szCs w:val="22"/>
        </w:rPr>
        <w:t xml:space="preserve"> that will support</w:t>
      </w:r>
      <w:r w:rsidR="00A67859" w:rsidRPr="00E056AE">
        <w:rPr>
          <w:rFonts w:cstheme="minorHAnsi"/>
          <w:szCs w:val="22"/>
        </w:rPr>
        <w:t xml:space="preserve"> TB elimination in the UK. </w:t>
      </w:r>
    </w:p>
    <w:p w14:paraId="4378F2A9" w14:textId="4D715D5B" w:rsidR="00DC2140" w:rsidRPr="00E056AE" w:rsidRDefault="003968A2" w:rsidP="00A67859">
      <w:pPr>
        <w:spacing w:line="240" w:lineRule="auto"/>
        <w:ind w:left="34"/>
        <w:rPr>
          <w:rFonts w:cstheme="minorHAnsi"/>
          <w:szCs w:val="22"/>
        </w:rPr>
      </w:pPr>
      <w:r w:rsidRPr="00E056AE">
        <w:rPr>
          <w:rFonts w:cstheme="minorHAnsi"/>
          <w:szCs w:val="22"/>
        </w:rPr>
        <w:t>Whilst LTBI screening and treatment is now increasingly becoming standard procedure, with £10million invested recently</w:t>
      </w:r>
      <w:r w:rsidR="00A348E4" w:rsidRPr="00E056AE">
        <w:rPr>
          <w:rFonts w:cstheme="minorHAnsi"/>
          <w:szCs w:val="22"/>
        </w:rPr>
        <w:t xml:space="preserve"> in the UK</w:t>
      </w:r>
      <w:r w:rsidRPr="00E056AE">
        <w:rPr>
          <w:rFonts w:cstheme="minorHAnsi"/>
          <w:szCs w:val="22"/>
        </w:rPr>
        <w:t xml:space="preserve"> for the testing and treatment of migrants from high-incidence countries,</w:t>
      </w:r>
      <w:r w:rsidRPr="00E056AE">
        <w:rPr>
          <w:rFonts w:cstheme="minorHAnsi"/>
          <w:szCs w:val="22"/>
        </w:rPr>
        <w:fldChar w:fldCharType="begin" w:fldLock="1"/>
      </w:r>
      <w:r w:rsidR="009553AE" w:rsidRPr="00E056AE">
        <w:rPr>
          <w:rFonts w:cstheme="minorHAnsi"/>
          <w:szCs w:val="22"/>
        </w:rPr>
        <w:instrText>ADDIN CSL_CITATION {"citationItems":[{"id":"ITEM-1","itemData":{"author":[{"dropping-particle":"","family":"Abubakar","given":"Ibrahim","non-dropping-particle":"","parse-names":false,"suffix":""},{"dropping-particle":"","family":"Anderson","given":"Sarah","non-dropping-particle":"","parse-names":false,"suffix":""},{"dropping-particle":"","family":"Hirani","given":"Hiran","non-dropping-particle":"","parse-names":false,"suffix":""},{"dropping-particle":"","family":"Kar-Purkayastha","given":"Ishani","non-dropping-particle":"","parse-names":false,"suffix":""},{"dropping-particle":"","family":"Thomas","given":"Lucy","non-dropping-particle":"","parse-names":false,"suffix":""},{"dropping-particle":"","family":"Weil","given":"Leonora","non-dropping-particle":"","parse-names":false,"suffix":""},{"dropping-particle":"","family":"Zenner","given":"Dominik","non-dropping-particle":"","parse-names":false,"suffix":""}],"id":"ITEM-1","issued":{"date-parts":[["0"]]},"title":"Collaborative Tuberculosis Strategy for England","type":"article-journal"},"uris":["http://www.mendeley.com/documents/?uuid=861b0e90-9a31-345f-8ab0-106a848dee70"]}],"mendeley":{"formattedCitation":"&lt;sup&gt;15&lt;/sup&gt;","plainTextFormattedCitation":"15","previouslyFormattedCitation":"&lt;sup&gt;15&lt;/sup&gt;"},"properties":{"noteIndex":0},"schema":"https://github.com/citation-style-language/schema/raw/master/csl-citation.json"}</w:instrText>
      </w:r>
      <w:r w:rsidRPr="00E056AE">
        <w:rPr>
          <w:rFonts w:cstheme="minorHAnsi"/>
          <w:szCs w:val="22"/>
        </w:rPr>
        <w:fldChar w:fldCharType="separate"/>
      </w:r>
      <w:r w:rsidR="009553AE" w:rsidRPr="00E056AE">
        <w:rPr>
          <w:rFonts w:cstheme="minorHAnsi"/>
          <w:noProof/>
          <w:szCs w:val="22"/>
          <w:vertAlign w:val="superscript"/>
        </w:rPr>
        <w:t>15</w:t>
      </w:r>
      <w:r w:rsidRPr="00E056AE">
        <w:rPr>
          <w:rFonts w:cstheme="minorHAnsi"/>
          <w:szCs w:val="22"/>
        </w:rPr>
        <w:fldChar w:fldCharType="end"/>
      </w:r>
      <w:r w:rsidRPr="00E056AE">
        <w:rPr>
          <w:rFonts w:cstheme="minorHAnsi"/>
          <w:szCs w:val="22"/>
        </w:rPr>
        <w:t xml:space="preserve"> little has been done to assess the experiences of </w:t>
      </w:r>
      <w:r w:rsidR="00A348E4" w:rsidRPr="00E056AE">
        <w:rPr>
          <w:rFonts w:cstheme="minorHAnsi"/>
          <w:szCs w:val="22"/>
        </w:rPr>
        <w:t>migrant patients being increasingly offered LTBI testing and preventative treatment</w:t>
      </w:r>
      <w:r w:rsidR="009553AE" w:rsidRPr="00E056AE">
        <w:rPr>
          <w:rFonts w:cstheme="minorHAnsi"/>
          <w:szCs w:val="22"/>
        </w:rPr>
        <w:t xml:space="preserve"> (whom are the predominant demographic targeted by the testing)</w:t>
      </w:r>
      <w:r w:rsidRPr="00E056AE">
        <w:rPr>
          <w:rFonts w:cstheme="minorHAnsi"/>
          <w:szCs w:val="22"/>
        </w:rPr>
        <w:t xml:space="preserve">, nor the practitioners </w:t>
      </w:r>
      <w:r w:rsidR="00A348E4" w:rsidRPr="00E056AE">
        <w:rPr>
          <w:rFonts w:cstheme="minorHAnsi"/>
          <w:szCs w:val="22"/>
        </w:rPr>
        <w:t xml:space="preserve">delivering </w:t>
      </w:r>
      <w:r w:rsidRPr="00E056AE">
        <w:rPr>
          <w:rFonts w:cstheme="minorHAnsi"/>
          <w:szCs w:val="22"/>
        </w:rPr>
        <w:t xml:space="preserve">such </w:t>
      </w:r>
      <w:r w:rsidR="00DC2140" w:rsidRPr="00E056AE">
        <w:rPr>
          <w:rFonts w:cstheme="minorHAnsi"/>
          <w:szCs w:val="22"/>
        </w:rPr>
        <w:t>c</w:t>
      </w:r>
      <w:r w:rsidRPr="00E056AE">
        <w:rPr>
          <w:rFonts w:cstheme="minorHAnsi"/>
          <w:szCs w:val="22"/>
        </w:rPr>
        <w:t xml:space="preserve">are, </w:t>
      </w:r>
      <w:r w:rsidR="00A348E4" w:rsidRPr="00E056AE">
        <w:rPr>
          <w:rFonts w:cstheme="minorHAnsi"/>
          <w:szCs w:val="22"/>
        </w:rPr>
        <w:t xml:space="preserve">and it is unclear how successful treatment uptake and completion is in the UK. Our data will provide much needed information on the views and experiences of patients and NHS staff around ways to improve delivery of care in this area, </w:t>
      </w:r>
      <w:r w:rsidRPr="00E056AE">
        <w:rPr>
          <w:rFonts w:cstheme="minorHAnsi"/>
          <w:szCs w:val="22"/>
        </w:rPr>
        <w:t xml:space="preserve">so as to assess where future efforts </w:t>
      </w:r>
      <w:r w:rsidR="00DC2140" w:rsidRPr="00E056AE">
        <w:rPr>
          <w:rFonts w:cstheme="minorHAnsi"/>
          <w:szCs w:val="22"/>
        </w:rPr>
        <w:t>could be focused to improve the quality of care, and consequently treatment outcomes.</w:t>
      </w:r>
    </w:p>
    <w:p w14:paraId="5D999EF2" w14:textId="24C3E254" w:rsidR="00552E09" w:rsidRPr="00E056AE" w:rsidRDefault="00552E09" w:rsidP="00930974">
      <w:pPr>
        <w:spacing w:line="240" w:lineRule="auto"/>
        <w:rPr>
          <w:rFonts w:cstheme="minorHAnsi"/>
          <w:szCs w:val="22"/>
        </w:rPr>
      </w:pPr>
    </w:p>
    <w:p w14:paraId="0A4BF6C1" w14:textId="30B22F10" w:rsidR="00552E09" w:rsidRPr="00E056AE" w:rsidRDefault="00552E09" w:rsidP="003802A1">
      <w:pPr>
        <w:pStyle w:val="BodyText"/>
        <w:tabs>
          <w:tab w:val="left" w:pos="709"/>
        </w:tabs>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3</w:t>
      </w:r>
      <w:r w:rsidRPr="00E056AE">
        <w:rPr>
          <w:rFonts w:asciiTheme="minorHAnsi" w:hAnsiTheme="minorHAnsi" w:cstheme="minorHAnsi"/>
          <w:b/>
          <w:i w:val="0"/>
          <w:sz w:val="22"/>
          <w:szCs w:val="22"/>
        </w:rPr>
        <w:tab/>
      </w:r>
      <w:r w:rsidR="00F83D7D" w:rsidRPr="00E056AE">
        <w:rPr>
          <w:rFonts w:asciiTheme="minorHAnsi" w:hAnsiTheme="minorHAnsi" w:cstheme="minorHAnsi"/>
          <w:b/>
          <w:i w:val="0"/>
          <w:sz w:val="22"/>
          <w:szCs w:val="22"/>
        </w:rPr>
        <w:t>THEORETICA</w:t>
      </w:r>
      <w:r w:rsidRPr="00E056AE">
        <w:rPr>
          <w:rFonts w:asciiTheme="minorHAnsi" w:hAnsiTheme="minorHAnsi" w:cstheme="minorHAnsi"/>
          <w:b/>
          <w:i w:val="0"/>
          <w:sz w:val="22"/>
          <w:szCs w:val="22"/>
        </w:rPr>
        <w:t xml:space="preserve">L </w:t>
      </w:r>
      <w:proofErr w:type="gramStart"/>
      <w:r w:rsidRPr="00E056AE">
        <w:rPr>
          <w:rFonts w:asciiTheme="minorHAnsi" w:hAnsiTheme="minorHAnsi" w:cstheme="minorHAnsi"/>
          <w:b/>
          <w:i w:val="0"/>
          <w:sz w:val="22"/>
          <w:szCs w:val="22"/>
        </w:rPr>
        <w:t>FRAMEWORK</w:t>
      </w:r>
      <w:proofErr w:type="gramEnd"/>
    </w:p>
    <w:p w14:paraId="23807860" w14:textId="7482ECDC" w:rsidR="003506F6" w:rsidRPr="00E056AE" w:rsidRDefault="003506F6" w:rsidP="00F83D7D">
      <w:pPr>
        <w:rPr>
          <w:rFonts w:cstheme="minorHAnsi"/>
          <w:szCs w:val="22"/>
        </w:rPr>
      </w:pPr>
      <w:r w:rsidRPr="00E056AE">
        <w:rPr>
          <w:rFonts w:cstheme="minorHAnsi"/>
          <w:szCs w:val="22"/>
        </w:rPr>
        <w:t xml:space="preserve">The proposed research </w:t>
      </w:r>
      <w:r w:rsidR="001D7C6D" w:rsidRPr="00E056AE">
        <w:rPr>
          <w:rFonts w:cstheme="minorHAnsi"/>
          <w:szCs w:val="22"/>
        </w:rPr>
        <w:t>will utilise semi-structured interviews and focus groups to explore the experiences of receiving</w:t>
      </w:r>
      <w:r w:rsidR="00302547" w:rsidRPr="00E056AE">
        <w:rPr>
          <w:rFonts w:cstheme="minorHAnsi"/>
          <w:szCs w:val="22"/>
        </w:rPr>
        <w:t xml:space="preserve"> LTBI and TB</w:t>
      </w:r>
      <w:r w:rsidR="001D7C6D" w:rsidRPr="00E056AE">
        <w:rPr>
          <w:rFonts w:cstheme="minorHAnsi"/>
          <w:szCs w:val="22"/>
        </w:rPr>
        <w:t xml:space="preserve"> </w:t>
      </w:r>
      <w:r w:rsidR="00302547" w:rsidRPr="00E056AE">
        <w:rPr>
          <w:rFonts w:cstheme="minorHAnsi"/>
          <w:szCs w:val="22"/>
        </w:rPr>
        <w:t>treatment among migrant patients</w:t>
      </w:r>
      <w:r w:rsidR="002554AB" w:rsidRPr="00E056AE">
        <w:rPr>
          <w:rFonts w:cstheme="minorHAnsi"/>
          <w:szCs w:val="22"/>
        </w:rPr>
        <w:t xml:space="preserve">, </w:t>
      </w:r>
      <w:r w:rsidR="00302547" w:rsidRPr="00E056AE">
        <w:rPr>
          <w:rFonts w:cstheme="minorHAnsi"/>
          <w:szCs w:val="22"/>
        </w:rPr>
        <w:t xml:space="preserve">the experiences of administering such care among </w:t>
      </w:r>
      <w:r w:rsidR="00462E65" w:rsidRPr="00E056AE">
        <w:rPr>
          <w:rFonts w:cstheme="minorHAnsi"/>
          <w:szCs w:val="22"/>
        </w:rPr>
        <w:t>health-service providers</w:t>
      </w:r>
      <w:r w:rsidR="002554AB" w:rsidRPr="00E056AE">
        <w:rPr>
          <w:rFonts w:cstheme="minorHAnsi"/>
          <w:szCs w:val="22"/>
        </w:rPr>
        <w:t>,</w:t>
      </w:r>
      <w:r w:rsidR="00462E65" w:rsidRPr="00E056AE">
        <w:rPr>
          <w:rFonts w:cstheme="minorHAnsi"/>
          <w:szCs w:val="22"/>
        </w:rPr>
        <w:t xml:space="preserve"> </w:t>
      </w:r>
      <w:r w:rsidR="00791F26" w:rsidRPr="00E056AE">
        <w:rPr>
          <w:rFonts w:cstheme="minorHAnsi"/>
          <w:szCs w:val="22"/>
        </w:rPr>
        <w:t>and</w:t>
      </w:r>
      <w:r w:rsidR="001D7C6D" w:rsidRPr="00E056AE">
        <w:rPr>
          <w:rFonts w:cstheme="minorHAnsi"/>
          <w:szCs w:val="22"/>
        </w:rPr>
        <w:t xml:space="preserve"> </w:t>
      </w:r>
      <w:r w:rsidR="002554AB" w:rsidRPr="00E056AE">
        <w:rPr>
          <w:rFonts w:cstheme="minorHAnsi"/>
          <w:szCs w:val="22"/>
        </w:rPr>
        <w:t xml:space="preserve">both groups’ </w:t>
      </w:r>
      <w:r w:rsidR="00791F26" w:rsidRPr="00E056AE">
        <w:rPr>
          <w:rFonts w:cstheme="minorHAnsi"/>
          <w:szCs w:val="22"/>
        </w:rPr>
        <w:t>perspectives on what constitutes ‘successful’ treatment.</w:t>
      </w:r>
    </w:p>
    <w:p w14:paraId="56E4132C" w14:textId="15B217E2" w:rsidR="008D6614" w:rsidRPr="00E056AE" w:rsidRDefault="002554AB" w:rsidP="00F83D7D">
      <w:pPr>
        <w:rPr>
          <w:rFonts w:cstheme="minorHAnsi"/>
          <w:szCs w:val="22"/>
        </w:rPr>
      </w:pPr>
      <w:r w:rsidRPr="00E056AE">
        <w:rPr>
          <w:rFonts w:cstheme="minorHAnsi"/>
          <w:szCs w:val="22"/>
        </w:rPr>
        <w:t xml:space="preserve">The topic guides/questionnaires for the interviews and focus groups will be semi-structured, and include open ended prompts. </w:t>
      </w:r>
      <w:r w:rsidR="001D7C6D" w:rsidRPr="00E056AE">
        <w:rPr>
          <w:rFonts w:cstheme="minorHAnsi"/>
          <w:szCs w:val="22"/>
        </w:rPr>
        <w:t>Qualitative methodology is appropriate to the aims of our research,</w:t>
      </w:r>
      <w:r w:rsidR="00443086" w:rsidRPr="00E056AE">
        <w:rPr>
          <w:rFonts w:cstheme="minorHAnsi"/>
          <w:szCs w:val="22"/>
        </w:rPr>
        <w:t xml:space="preserve"> to </w:t>
      </w:r>
      <w:r w:rsidR="008D6614" w:rsidRPr="00E056AE">
        <w:rPr>
          <w:rFonts w:cstheme="minorHAnsi"/>
          <w:szCs w:val="22"/>
        </w:rPr>
        <w:t xml:space="preserve">enable the collection and examination of our participants lived-experiences of the </w:t>
      </w:r>
      <w:r w:rsidR="00C1132A" w:rsidRPr="00E056AE">
        <w:rPr>
          <w:rFonts w:cstheme="minorHAnsi"/>
          <w:szCs w:val="22"/>
        </w:rPr>
        <w:t>topic</w:t>
      </w:r>
      <w:r w:rsidR="007E1BC6" w:rsidRPr="00E056AE">
        <w:rPr>
          <w:rFonts w:cstheme="minorHAnsi"/>
          <w:szCs w:val="22"/>
        </w:rPr>
        <w:t xml:space="preserve"> under study</w:t>
      </w:r>
      <w:r w:rsidR="008D6614" w:rsidRPr="00E056AE">
        <w:rPr>
          <w:rFonts w:cstheme="minorHAnsi"/>
          <w:szCs w:val="22"/>
        </w:rPr>
        <w:t>. Utilising in-depth semi-structured interviews ensures the complexity of the phenomenon we’re examining (</w:t>
      </w:r>
      <w:proofErr w:type="spellStart"/>
      <w:r w:rsidR="008D6614" w:rsidRPr="00E056AE">
        <w:rPr>
          <w:rFonts w:cstheme="minorHAnsi"/>
          <w:szCs w:val="22"/>
        </w:rPr>
        <w:t>i.e</w:t>
      </w:r>
      <w:proofErr w:type="spellEnd"/>
      <w:r w:rsidR="008D6614" w:rsidRPr="00E056AE">
        <w:rPr>
          <w:rFonts w:cstheme="minorHAnsi"/>
          <w:szCs w:val="22"/>
        </w:rPr>
        <w:t xml:space="preserve"> individuals</w:t>
      </w:r>
      <w:r w:rsidRPr="00E056AE">
        <w:rPr>
          <w:rFonts w:cstheme="minorHAnsi"/>
          <w:szCs w:val="22"/>
        </w:rPr>
        <w:t>’</w:t>
      </w:r>
      <w:r w:rsidR="008D6614" w:rsidRPr="00E056AE">
        <w:rPr>
          <w:rFonts w:cstheme="minorHAnsi"/>
          <w:szCs w:val="22"/>
        </w:rPr>
        <w:t xml:space="preserve"> experiences and perspectives) is respected, especially when working to discover core themes and ideas</w:t>
      </w:r>
      <w:r w:rsidR="00566220" w:rsidRPr="00E056AE">
        <w:rPr>
          <w:rFonts w:cstheme="minorHAnsi"/>
          <w:szCs w:val="22"/>
        </w:rPr>
        <w:t>.</w:t>
      </w:r>
      <w:r w:rsidR="008D6614" w:rsidRPr="00E056AE">
        <w:rPr>
          <w:rFonts w:cstheme="minorHAnsi"/>
          <w:szCs w:val="22"/>
        </w:rPr>
        <w:fldChar w:fldCharType="begin" w:fldLock="1"/>
      </w:r>
      <w:r w:rsidR="009553AE" w:rsidRPr="00E056AE">
        <w:rPr>
          <w:rFonts w:cstheme="minorHAnsi"/>
          <w:szCs w:val="22"/>
        </w:rPr>
        <w:instrText>ADDIN CSL_CITATION {"citationItems":[{"id":"ITEM-1","itemData":{"abstract":"Although some social science researchers (Lincoln &amp; Guba, 1985; Schwandt, 1989) perceive qualitative and quantitative approaches as incompatible, others (Patton, 1990; Reichardt &amp; Cook, 1979) believe that the skilled researcher can successfully combine approaches. The argument usually becomes muddled because one party argues from the underlying philosophical nature of each paradigm, and the other focuses on the apparent compatibility of the research methods, enjoying the rewards of both numbers and words. Because the positivist and the interpretive paradigms rest on different assumptions about the nature of the world, they require different instruments and procedures to find the type of data desired.. Nonetheless, people tend to adhere to the methodology that is most consonant with their socialized worldview. This paper is set to analyze the strengths and limitations of Qualitative research focusing on its shortcomings and how Quantitative research can overcome these shortcomings. The paper concludes that an eclectic approach to educational research can not an option.","author":[{"dropping-particle":"","family":"Pamela Atieno","given":"Ochieng","non-dropping-particle":"","parse-names":false,"suffix":""}],"id":"ITEM-1","issued":{"date-parts":[["2009"]]},"title":"AN ANALYSIS OF THE STRENGTHS AND LIMITATION OF QUALITATIVE AND QUANTITATIVE RESEARCH PARADIGMS","type":"report"},"uris":["http://www.mendeley.com/documents/?uuid=92a53cf5-98dd-3794-95d2-e7a3d5c81eb4"]}],"mendeley":{"formattedCitation":"&lt;sup&gt;16&lt;/sup&gt;","plainTextFormattedCitation":"16","previouslyFormattedCitation":"&lt;sup&gt;16&lt;/sup&gt;"},"properties":{"noteIndex":0},"schema":"https://github.com/citation-style-language/schema/raw/master/csl-citation.json"}</w:instrText>
      </w:r>
      <w:r w:rsidR="008D6614" w:rsidRPr="00E056AE">
        <w:rPr>
          <w:rFonts w:cstheme="minorHAnsi"/>
          <w:szCs w:val="22"/>
        </w:rPr>
        <w:fldChar w:fldCharType="separate"/>
      </w:r>
      <w:r w:rsidR="009553AE" w:rsidRPr="00E056AE">
        <w:rPr>
          <w:rFonts w:cstheme="minorHAnsi"/>
          <w:noProof/>
          <w:szCs w:val="22"/>
          <w:vertAlign w:val="superscript"/>
        </w:rPr>
        <w:t>16</w:t>
      </w:r>
      <w:r w:rsidR="008D6614" w:rsidRPr="00E056AE">
        <w:rPr>
          <w:rFonts w:cstheme="minorHAnsi"/>
          <w:szCs w:val="22"/>
        </w:rPr>
        <w:fldChar w:fldCharType="end"/>
      </w:r>
      <w:r w:rsidR="003B5CA0" w:rsidRPr="00E056AE">
        <w:rPr>
          <w:rFonts w:cstheme="minorHAnsi"/>
          <w:szCs w:val="22"/>
        </w:rPr>
        <w:t xml:space="preserve"> </w:t>
      </w:r>
      <w:r w:rsidR="00566220" w:rsidRPr="00E056AE">
        <w:rPr>
          <w:rFonts w:cstheme="minorHAnsi"/>
          <w:szCs w:val="22"/>
        </w:rPr>
        <w:t>Similarly, focus groups can act as a powerful method to facilitate discussion between participants who have common experiences, though perhaps differing perspectives, and can lead to the same in-depth understanding of phenomena as interviews.</w:t>
      </w:r>
      <w:r w:rsidR="00566220" w:rsidRPr="00E056AE">
        <w:rPr>
          <w:rFonts w:cstheme="minorHAnsi"/>
          <w:szCs w:val="22"/>
        </w:rPr>
        <w:fldChar w:fldCharType="begin" w:fldLock="1"/>
      </w:r>
      <w:r w:rsidR="009553AE" w:rsidRPr="00E056AE">
        <w:rPr>
          <w:rFonts w:cstheme="minorHAnsi"/>
          <w:szCs w:val="22"/>
        </w:rPr>
        <w:instrText>ADDIN CSL_CITATION {"citationItems":[{"id":"ITEM-1","itemData":{"ISSN":"1715-5258","PMID":"19221085","author":[{"dropping-particle":"","family":"Leung","given":"Fok-Han","non-dropping-particle":"","parse-names":false,"suffix":""},{"dropping-particle":"","family":"Savithiri","given":"Ratnapalan","non-dropping-particle":"","parse-names":false,"suffix":""}],"container-title":"Canadian family physician Medecin de famille canadien","id":"ITEM-1","issue":"2","issued":{"date-parts":[["2009","2"]]},"page":"218-9","publisher":"College of Family Physicians of Canada","title":"Spotlight on focus groups.","type":"article-journal","volume":"55"},"uris":["http://www.mendeley.com/documents/?uuid=14873249-72d8-342a-9ce6-dfe86d81a843"]}],"mendeley":{"formattedCitation":"&lt;sup&gt;17&lt;/sup&gt;","plainTextFormattedCitation":"17","previouslyFormattedCitation":"&lt;sup&gt;17&lt;/sup&gt;"},"properties":{"noteIndex":0},"schema":"https://github.com/citation-style-language/schema/raw/master/csl-citation.json"}</w:instrText>
      </w:r>
      <w:r w:rsidR="00566220" w:rsidRPr="00E056AE">
        <w:rPr>
          <w:rFonts w:cstheme="minorHAnsi"/>
          <w:szCs w:val="22"/>
        </w:rPr>
        <w:fldChar w:fldCharType="separate"/>
      </w:r>
      <w:r w:rsidR="009553AE" w:rsidRPr="00E056AE">
        <w:rPr>
          <w:rFonts w:cstheme="minorHAnsi"/>
          <w:noProof/>
          <w:szCs w:val="22"/>
          <w:vertAlign w:val="superscript"/>
        </w:rPr>
        <w:t>17</w:t>
      </w:r>
      <w:r w:rsidR="00566220" w:rsidRPr="00E056AE">
        <w:rPr>
          <w:rFonts w:cstheme="minorHAnsi"/>
          <w:szCs w:val="22"/>
        </w:rPr>
        <w:fldChar w:fldCharType="end"/>
      </w:r>
      <w:r w:rsidR="00566220" w:rsidRPr="00E056AE">
        <w:rPr>
          <w:rFonts w:cstheme="minorHAnsi"/>
          <w:szCs w:val="22"/>
        </w:rPr>
        <w:t xml:space="preserve"> </w:t>
      </w:r>
      <w:r w:rsidR="003B5CA0" w:rsidRPr="00E056AE">
        <w:rPr>
          <w:rFonts w:cstheme="minorHAnsi"/>
          <w:szCs w:val="22"/>
        </w:rPr>
        <w:t xml:space="preserve">Such approaches can then form the basis for further research that can quantitatively assess phenomenon of interest. </w:t>
      </w:r>
    </w:p>
    <w:p w14:paraId="4C176F4C" w14:textId="19155248" w:rsidR="008D6614" w:rsidRPr="00E056AE" w:rsidRDefault="003B5CA0" w:rsidP="00F83D7D">
      <w:pPr>
        <w:rPr>
          <w:rFonts w:cstheme="minorHAnsi"/>
          <w:szCs w:val="22"/>
        </w:rPr>
      </w:pPr>
      <w:r w:rsidRPr="00E056AE">
        <w:rPr>
          <w:rFonts w:cstheme="minorHAnsi"/>
          <w:szCs w:val="22"/>
        </w:rPr>
        <w:t xml:space="preserve">In terms of specific methodology and approaches, </w:t>
      </w:r>
      <w:r w:rsidR="002554AB" w:rsidRPr="00E056AE">
        <w:rPr>
          <w:rFonts w:cstheme="minorHAnsi"/>
          <w:szCs w:val="22"/>
        </w:rPr>
        <w:t xml:space="preserve">data collection will be informed by </w:t>
      </w:r>
      <w:r w:rsidRPr="00E056AE">
        <w:rPr>
          <w:rFonts w:cstheme="minorHAnsi"/>
          <w:szCs w:val="22"/>
        </w:rPr>
        <w:t>a phenomenological approach</w:t>
      </w:r>
      <w:r w:rsidR="002554AB" w:rsidRPr="00E056AE">
        <w:rPr>
          <w:rFonts w:cstheme="minorHAnsi"/>
          <w:szCs w:val="22"/>
        </w:rPr>
        <w:t>.</w:t>
      </w:r>
      <w:r w:rsidRPr="00E056AE">
        <w:rPr>
          <w:rFonts w:cstheme="minorHAnsi"/>
          <w:szCs w:val="22"/>
        </w:rPr>
        <w:fldChar w:fldCharType="begin" w:fldLock="1"/>
      </w:r>
      <w:r w:rsidR="009553AE" w:rsidRPr="00E056AE">
        <w:rPr>
          <w:rFonts w:cstheme="minorHAnsi"/>
          <w:szCs w:val="22"/>
        </w:rPr>
        <w:instrText>ADDIN CSL_CITATION {"citationItems":[{"id":"ITEM-1","itemData":{"ISBN":"9400974914","abstract":"Third rev. and enlarged edition.","author":[{"dropping-particle":"","family":"Spiegelberg","given":"Herbert.","non-dropping-particle":"","parse-names":false,"suffix":""}],"id":"ITEM-1","issued":{"date-parts":[["1982"]]},"number-of-pages":"788","publisher":"Springer Netherlands","title":"The Phenomenological Movement : a Historical Introduction","type":"book"},"uris":["http://www.mendeley.com/documents/?uuid=61835fab-2186-3c4d-99ed-f3345077d1eb"]}],"mendeley":{"formattedCitation":"&lt;sup&gt;18&lt;/sup&gt;","plainTextFormattedCitation":"18","previouslyFormattedCitation":"&lt;sup&gt;18&lt;/sup&gt;"},"properties":{"noteIndex":0},"schema":"https://github.com/citation-style-language/schema/raw/master/csl-citation.json"}</w:instrText>
      </w:r>
      <w:r w:rsidRPr="00E056AE">
        <w:rPr>
          <w:rFonts w:cstheme="minorHAnsi"/>
          <w:szCs w:val="22"/>
        </w:rPr>
        <w:fldChar w:fldCharType="separate"/>
      </w:r>
      <w:r w:rsidR="009553AE" w:rsidRPr="00E056AE">
        <w:rPr>
          <w:rFonts w:cstheme="minorHAnsi"/>
          <w:noProof/>
          <w:szCs w:val="22"/>
          <w:vertAlign w:val="superscript"/>
        </w:rPr>
        <w:t>18</w:t>
      </w:r>
      <w:r w:rsidRPr="00E056AE">
        <w:rPr>
          <w:rFonts w:cstheme="minorHAnsi"/>
          <w:szCs w:val="22"/>
        </w:rPr>
        <w:fldChar w:fldCharType="end"/>
      </w:r>
      <w:r w:rsidRPr="00E056AE">
        <w:rPr>
          <w:rFonts w:cstheme="minorHAnsi"/>
          <w:szCs w:val="22"/>
        </w:rPr>
        <w:t xml:space="preserve"> The phenomenological approach </w:t>
      </w:r>
      <w:r w:rsidR="00C1132A" w:rsidRPr="00E056AE">
        <w:rPr>
          <w:rFonts w:cstheme="minorHAnsi"/>
          <w:szCs w:val="22"/>
        </w:rPr>
        <w:t xml:space="preserve">aims </w:t>
      </w:r>
      <w:r w:rsidRPr="00E056AE">
        <w:rPr>
          <w:rFonts w:cstheme="minorHAnsi"/>
          <w:szCs w:val="22"/>
        </w:rPr>
        <w:t>to capture the way in which a phenomenon is experienced by individuals, within its setting and context, and so such an approach aligns with our aims of capturing our participants lived-experiences.</w:t>
      </w:r>
      <w:r w:rsidRPr="00E056AE">
        <w:rPr>
          <w:rFonts w:cstheme="minorHAnsi"/>
          <w:szCs w:val="22"/>
        </w:rPr>
        <w:fldChar w:fldCharType="begin" w:fldLock="1"/>
      </w:r>
      <w:r w:rsidR="009553AE" w:rsidRPr="00E056AE">
        <w:rPr>
          <w:rFonts w:cstheme="minorHAnsi"/>
          <w:szCs w:val="22"/>
        </w:rPr>
        <w:instrText>ADDIN CSL_CITATION {"citationItems":[{"id":"ITEM-1","itemData":{"author":[{"dropping-particle":"","family":"Giorgi","given":"A","non-dropping-particle":"","parse-names":false,"suffix":""},{"dropping-particle":"","family":"Giorgi","given":"B","non-dropping-particle":"","parse-names":false,"suffix":""}],"container-title":"Qualitative Psychology","editor":[{"dropping-particle":"","family":"Smith","given":"J.A.","non-dropping-particle":"","parse-names":false,"suffix":""}],"id":"ITEM-1","issued":{"date-parts":[["2003"]]},"page":"25-50","publisher":"SAGE","publisher-place":"London","title":"\"Phenomonology\"","type":"chapter"},"uris":["http://www.mendeley.com/documents/?uuid=1ba40aac-277c-4260-a17d-4174845d4db9"]}],"mendeley":{"formattedCitation":"&lt;sup&gt;19&lt;/sup&gt;","plainTextFormattedCitation":"19","previouslyFormattedCitation":"&lt;sup&gt;19&lt;/sup&gt;"},"properties":{"noteIndex":0},"schema":"https://github.com/citation-style-language/schema/raw/master/csl-citation.json"}</w:instrText>
      </w:r>
      <w:r w:rsidRPr="00E056AE">
        <w:rPr>
          <w:rFonts w:cstheme="minorHAnsi"/>
          <w:szCs w:val="22"/>
        </w:rPr>
        <w:fldChar w:fldCharType="separate"/>
      </w:r>
      <w:r w:rsidR="009553AE" w:rsidRPr="00E056AE">
        <w:rPr>
          <w:rFonts w:cstheme="minorHAnsi"/>
          <w:noProof/>
          <w:szCs w:val="22"/>
          <w:vertAlign w:val="superscript"/>
        </w:rPr>
        <w:t>19</w:t>
      </w:r>
      <w:r w:rsidRPr="00E056AE">
        <w:rPr>
          <w:rFonts w:cstheme="minorHAnsi"/>
          <w:szCs w:val="22"/>
        </w:rPr>
        <w:fldChar w:fldCharType="end"/>
      </w:r>
      <w:r w:rsidR="00A12121" w:rsidRPr="00E056AE">
        <w:rPr>
          <w:rFonts w:cstheme="minorHAnsi"/>
          <w:szCs w:val="22"/>
        </w:rPr>
        <w:t xml:space="preserve"> Whilst there are separate phenomenologically inspired methods and philosophies developed by individuals such as Husserl, Heidegger, Gadamer and </w:t>
      </w:r>
      <w:proofErr w:type="spellStart"/>
      <w:r w:rsidR="00A12121" w:rsidRPr="00E056AE">
        <w:rPr>
          <w:rFonts w:cstheme="minorHAnsi"/>
          <w:szCs w:val="22"/>
        </w:rPr>
        <w:t>Ricoeur</w:t>
      </w:r>
      <w:proofErr w:type="spellEnd"/>
      <w:r w:rsidR="00A12121" w:rsidRPr="00E056AE">
        <w:rPr>
          <w:rFonts w:cstheme="minorHAnsi"/>
          <w:szCs w:val="22"/>
        </w:rPr>
        <w:t xml:space="preserve">, there are often significant overlaps in approaches, and so we don’t </w:t>
      </w:r>
      <w:r w:rsidR="00A12121" w:rsidRPr="00E056AE">
        <w:rPr>
          <w:rFonts w:cstheme="minorHAnsi"/>
          <w:szCs w:val="22"/>
        </w:rPr>
        <w:lastRenderedPageBreak/>
        <w:t xml:space="preserve">aspire to subscribe </w:t>
      </w:r>
      <w:r w:rsidR="00AC1B61" w:rsidRPr="00E056AE">
        <w:rPr>
          <w:rFonts w:cstheme="minorHAnsi"/>
          <w:szCs w:val="22"/>
        </w:rPr>
        <w:t xml:space="preserve">to </w:t>
      </w:r>
      <w:r w:rsidR="00A12121" w:rsidRPr="00E056AE">
        <w:rPr>
          <w:rFonts w:cstheme="minorHAnsi"/>
          <w:szCs w:val="22"/>
        </w:rPr>
        <w:t>one particular phenomenological approach over another.</w:t>
      </w:r>
      <w:r w:rsidR="00A12121" w:rsidRPr="00E056AE">
        <w:rPr>
          <w:rFonts w:cstheme="minorHAnsi"/>
          <w:szCs w:val="22"/>
        </w:rPr>
        <w:fldChar w:fldCharType="begin" w:fldLock="1"/>
      </w:r>
      <w:r w:rsidR="009553AE" w:rsidRPr="00E056AE">
        <w:rPr>
          <w:rFonts w:cstheme="minorHAnsi"/>
          <w:szCs w:val="22"/>
        </w:rPr>
        <w:instrText>ADDIN CSL_CITATION {"citationItems":[{"id":"ITEM-1","itemData":{"DOI":"10.1080/14780887.2011.608466","ISSN":"1478-0887","abstract":"A whole family of qualitative methods is informed by phenomenological philosophy. When applying these methods, the material is analyzed using concepts from this philosophy to interrogate the findings and to enable greater theoretical analysis. However, the phenomenological approach represents different approaches, from pure description to those more informed by interpretation. Phenomenological philosophy developed from a discipline focusing on thorough descriptions, and only descriptions, toward a greater emphasis on interpretation being inherent in experience. An analogous development toward a broader acknowledgment of the need for interpretation, the influence of the relationship and the researcher, and the co-construction of the narrative is mirrored in qualitative analytic theory and the description of newer analytic methods as, for example, Interpretative Phenomenological Analysis and Critical Narrative Analysis, methods which are theoretically founded in phenomenology. This methodological developmen...","author":[{"dropping-particle":"","family":"Davidsen","given":"Annette Sofie","non-dropping-particle":"","parse-names":false,"suffix":""}],"container-title":"Qualitative Research in Psychology","id":"ITEM-1","issue":"3","issued":{"date-parts":[["2013","7","15"]]},"page":"318-339","publisher":" Taylor &amp; Francis Group ","title":"Phenomenological Approaches in Psychology and Health Sciences","type":"article-journal","volume":"10"},"uris":["http://www.mendeley.com/documents/?uuid=04083159-a75b-3932-81fd-40cbc4749c8a"]}],"mendeley":{"formattedCitation":"&lt;sup&gt;20&lt;/sup&gt;","plainTextFormattedCitation":"20","previouslyFormattedCitation":"&lt;sup&gt;20&lt;/sup&gt;"},"properties":{"noteIndex":0},"schema":"https://github.com/citation-style-language/schema/raw/master/csl-citation.json"}</w:instrText>
      </w:r>
      <w:r w:rsidR="00A12121" w:rsidRPr="00E056AE">
        <w:rPr>
          <w:rFonts w:cstheme="minorHAnsi"/>
          <w:szCs w:val="22"/>
        </w:rPr>
        <w:fldChar w:fldCharType="separate"/>
      </w:r>
      <w:r w:rsidR="009553AE" w:rsidRPr="00E056AE">
        <w:rPr>
          <w:rFonts w:cstheme="minorHAnsi"/>
          <w:noProof/>
          <w:szCs w:val="22"/>
          <w:vertAlign w:val="superscript"/>
        </w:rPr>
        <w:t>20</w:t>
      </w:r>
      <w:r w:rsidR="00A12121" w:rsidRPr="00E056AE">
        <w:rPr>
          <w:rFonts w:cstheme="minorHAnsi"/>
          <w:szCs w:val="22"/>
        </w:rPr>
        <w:fldChar w:fldCharType="end"/>
      </w:r>
      <w:r w:rsidR="00A12121" w:rsidRPr="00E056AE">
        <w:rPr>
          <w:rFonts w:cstheme="minorHAnsi"/>
          <w:szCs w:val="22"/>
        </w:rPr>
        <w:t xml:space="preserve"> Indeed, there are often blurred boundaries and adoption of multiple elements of differing methodologies such as grounded theory and phenomenology in many qualitative studies, and the potential that too rigorously adopting one approach over another may impact</w:t>
      </w:r>
      <w:r w:rsidR="00E2763A" w:rsidRPr="00E056AE">
        <w:rPr>
          <w:rFonts w:cstheme="minorHAnsi"/>
          <w:szCs w:val="22"/>
        </w:rPr>
        <w:t xml:space="preserve"> rigour</w:t>
      </w:r>
      <w:r w:rsidR="00A12121" w:rsidRPr="00E056AE">
        <w:rPr>
          <w:rFonts w:cstheme="minorHAnsi"/>
          <w:szCs w:val="22"/>
        </w:rPr>
        <w:t>.</w:t>
      </w:r>
      <w:r w:rsidR="00E2763A" w:rsidRPr="00E056AE">
        <w:rPr>
          <w:rFonts w:cstheme="minorHAnsi"/>
          <w:szCs w:val="22"/>
        </w:rPr>
        <w:fldChar w:fldCharType="begin" w:fldLock="1"/>
      </w:r>
      <w:r w:rsidR="009553AE" w:rsidRPr="00E056AE">
        <w:rPr>
          <w:rFonts w:cstheme="minorHAnsi"/>
          <w:szCs w:val="22"/>
        </w:rPr>
        <w:instrText>ADDIN CSL_CITATION {"citationItems":[{"id":"ITEM-1","itemData":{"author":[{"dropping-particle":"","family":"Johnson","given":"Martin","non-dropping-particle":"","parse-names":false,"suffix":""},{"dropping-particle":"","family":"Rn","given":"Tony Long","non-dropping-particle":"","parse-names":false,"suffix":""},{"dropping-particle":"","family":"Ma","given":"Bsc","non-dropping-particle":"","parse-names":false,"suffix":""},{"dropping-particle":"","family":"White","given":"Alan","non-dropping-particle":"","parse-names":false,"suffix":""}],"container-title":"Journal of Advanced Nursing","id":"ITEM-1","issue":"2","issued":{"date-parts":[["2000"]]},"page":"243-249","title":"Arguments for`Britishfor`British Pluralism' in qualitative health research","type":"article-journal","volume":"33"},"uris":["http://www.mendeley.com/documents/?uuid=062db3c9-763b-3e97-9dc0-bfc856793113"]}],"mendeley":{"formattedCitation":"&lt;sup&gt;21&lt;/sup&gt;","plainTextFormattedCitation":"21","previouslyFormattedCitation":"&lt;sup&gt;21&lt;/sup&gt;"},"properties":{"noteIndex":0},"schema":"https://github.com/citation-style-language/schema/raw/master/csl-citation.json"}</w:instrText>
      </w:r>
      <w:r w:rsidR="00E2763A" w:rsidRPr="00E056AE">
        <w:rPr>
          <w:rFonts w:cstheme="minorHAnsi"/>
          <w:szCs w:val="22"/>
        </w:rPr>
        <w:fldChar w:fldCharType="separate"/>
      </w:r>
      <w:r w:rsidR="009553AE" w:rsidRPr="00E056AE">
        <w:rPr>
          <w:rFonts w:cstheme="minorHAnsi"/>
          <w:noProof/>
          <w:szCs w:val="22"/>
          <w:vertAlign w:val="superscript"/>
        </w:rPr>
        <w:t>21</w:t>
      </w:r>
      <w:r w:rsidR="00E2763A" w:rsidRPr="00E056AE">
        <w:rPr>
          <w:rFonts w:cstheme="minorHAnsi"/>
          <w:szCs w:val="22"/>
        </w:rPr>
        <w:fldChar w:fldCharType="end"/>
      </w:r>
      <w:r w:rsidR="00E2763A" w:rsidRPr="00E056AE">
        <w:rPr>
          <w:rFonts w:cstheme="minorHAnsi"/>
          <w:szCs w:val="22"/>
        </w:rPr>
        <w:t xml:space="preserve"> Overall, the most important aspect of our approach must be to be clear about the </w:t>
      </w:r>
      <w:r w:rsidR="00AC1B61" w:rsidRPr="00E056AE">
        <w:rPr>
          <w:rFonts w:cstheme="minorHAnsi"/>
          <w:szCs w:val="22"/>
        </w:rPr>
        <w:t xml:space="preserve">physical </w:t>
      </w:r>
      <w:r w:rsidR="00E2763A" w:rsidRPr="00E056AE">
        <w:rPr>
          <w:rFonts w:cstheme="minorHAnsi"/>
          <w:szCs w:val="22"/>
        </w:rPr>
        <w:t>methods we have adopted</w:t>
      </w:r>
      <w:r w:rsidR="00AC1B61" w:rsidRPr="00E056AE">
        <w:rPr>
          <w:rFonts w:cstheme="minorHAnsi"/>
          <w:szCs w:val="22"/>
        </w:rPr>
        <w:t xml:space="preserve"> and</w:t>
      </w:r>
      <w:r w:rsidR="00E2763A" w:rsidRPr="00E056AE">
        <w:rPr>
          <w:rFonts w:cstheme="minorHAnsi"/>
          <w:szCs w:val="22"/>
        </w:rPr>
        <w:t xml:space="preserve"> our means of analysis, and then use our best efforts to implement and evaluate critically our approaches, giving consideration to the different interpretations </w:t>
      </w:r>
      <w:r w:rsidR="00A32289" w:rsidRPr="00E056AE">
        <w:rPr>
          <w:rFonts w:cstheme="minorHAnsi"/>
          <w:szCs w:val="22"/>
        </w:rPr>
        <w:t xml:space="preserve">of the data </w:t>
      </w:r>
      <w:r w:rsidR="00E2763A" w:rsidRPr="00E056AE">
        <w:rPr>
          <w:rFonts w:cstheme="minorHAnsi"/>
          <w:szCs w:val="22"/>
        </w:rPr>
        <w:t>that could arise throughout the analytical stages of the work.</w:t>
      </w:r>
      <w:r w:rsidR="00E2763A" w:rsidRPr="00E056AE">
        <w:rPr>
          <w:rFonts w:cstheme="minorHAnsi"/>
          <w:szCs w:val="22"/>
        </w:rPr>
        <w:fldChar w:fldCharType="begin" w:fldLock="1"/>
      </w:r>
      <w:r w:rsidR="009553AE" w:rsidRPr="00E056AE">
        <w:rPr>
          <w:rFonts w:cstheme="minorHAnsi"/>
          <w:szCs w:val="22"/>
        </w:rPr>
        <w:instrText>ADDIN CSL_CITATION {"citationItems":[{"id":"ITEM-1","itemData":{"author":[{"dropping-particle":"","family":"Johnson","given":"Martin","non-dropping-particle":"","parse-names":false,"suffix":""},{"dropping-particle":"","family":"Rn","given":"Tony Long","non-dropping-particle":"","parse-names":false,"suffix":""},{"dropping-particle":"","family":"Ma","given":"Bsc","non-dropping-particle":"","parse-names":false,"suffix":""},{"dropping-particle":"","family":"White","given":"Alan","non-dropping-particle":"","parse-names":false,"suffix":""}],"container-title":"Journal of Advanced Nursing","id":"ITEM-1","issue":"2","issued":{"date-parts":[["2000"]]},"page":"243-249","title":"Arguments for`Britishfor`British Pluralism' in qualitative health research","type":"article-journal","volume":"33"},"uris":["http://www.mendeley.com/documents/?uuid=062db3c9-763b-3e97-9dc0-bfc856793113"]}],"mendeley":{"formattedCitation":"&lt;sup&gt;21&lt;/sup&gt;","plainTextFormattedCitation":"21","previouslyFormattedCitation":"&lt;sup&gt;21&lt;/sup&gt;"},"properties":{"noteIndex":0},"schema":"https://github.com/citation-style-language/schema/raw/master/csl-citation.json"}</w:instrText>
      </w:r>
      <w:r w:rsidR="00E2763A" w:rsidRPr="00E056AE">
        <w:rPr>
          <w:rFonts w:cstheme="minorHAnsi"/>
          <w:szCs w:val="22"/>
        </w:rPr>
        <w:fldChar w:fldCharType="separate"/>
      </w:r>
      <w:r w:rsidR="009553AE" w:rsidRPr="00E056AE">
        <w:rPr>
          <w:rFonts w:cstheme="minorHAnsi"/>
          <w:noProof/>
          <w:szCs w:val="22"/>
          <w:vertAlign w:val="superscript"/>
        </w:rPr>
        <w:t>21</w:t>
      </w:r>
      <w:r w:rsidR="00E2763A" w:rsidRPr="00E056AE">
        <w:rPr>
          <w:rFonts w:cstheme="minorHAnsi"/>
          <w:szCs w:val="22"/>
        </w:rPr>
        <w:fldChar w:fldCharType="end"/>
      </w:r>
      <w:r w:rsidR="00E2763A" w:rsidRPr="00E056AE">
        <w:rPr>
          <w:rFonts w:cstheme="minorHAnsi"/>
          <w:szCs w:val="22"/>
        </w:rPr>
        <w:t xml:space="preserve"> </w:t>
      </w:r>
      <w:r w:rsidR="00A12121" w:rsidRPr="00E056AE">
        <w:rPr>
          <w:rFonts w:cstheme="minorHAnsi"/>
          <w:szCs w:val="22"/>
        </w:rPr>
        <w:t xml:space="preserve">    </w:t>
      </w:r>
    </w:p>
    <w:p w14:paraId="6D519F2A" w14:textId="7700B81B" w:rsidR="000E5BC3" w:rsidRPr="00E056AE" w:rsidRDefault="00681DBE" w:rsidP="00694FCB">
      <w:pPr>
        <w:rPr>
          <w:rFonts w:cstheme="minorHAnsi"/>
          <w:szCs w:val="22"/>
        </w:rPr>
      </w:pPr>
      <w:r w:rsidRPr="00E056AE">
        <w:rPr>
          <w:rFonts w:cstheme="minorHAnsi"/>
          <w:szCs w:val="22"/>
        </w:rPr>
        <w:t>As well as examining the phenomena of interest previously described, th</w:t>
      </w:r>
      <w:r w:rsidR="007D589D" w:rsidRPr="00E056AE">
        <w:rPr>
          <w:rFonts w:cstheme="minorHAnsi"/>
          <w:szCs w:val="22"/>
        </w:rPr>
        <w:t>e finding and recommendation from this research study will support us to</w:t>
      </w:r>
      <w:r w:rsidRPr="00E056AE">
        <w:rPr>
          <w:rFonts w:cstheme="minorHAnsi"/>
          <w:szCs w:val="22"/>
        </w:rPr>
        <w:t xml:space="preserve"> </w:t>
      </w:r>
      <w:r w:rsidR="00C05034" w:rsidRPr="00E056AE">
        <w:rPr>
          <w:rFonts w:cstheme="minorHAnsi"/>
          <w:szCs w:val="22"/>
        </w:rPr>
        <w:t>develop a novel intervention to improve TB/LTBI treatment outcomes</w:t>
      </w:r>
      <w:r w:rsidR="009D2E0A" w:rsidRPr="00E056AE">
        <w:rPr>
          <w:rFonts w:cstheme="minorHAnsi"/>
          <w:szCs w:val="22"/>
        </w:rPr>
        <w:t xml:space="preserve"> in migrant patients</w:t>
      </w:r>
      <w:r w:rsidR="007D589D" w:rsidRPr="00E056AE">
        <w:rPr>
          <w:rFonts w:cstheme="minorHAnsi"/>
          <w:szCs w:val="22"/>
        </w:rPr>
        <w:t xml:space="preserve"> at identified survey sites as a next step</w:t>
      </w:r>
      <w:r w:rsidR="00C05034" w:rsidRPr="00E056AE">
        <w:rPr>
          <w:rFonts w:cstheme="minorHAnsi"/>
          <w:szCs w:val="22"/>
        </w:rPr>
        <w:t xml:space="preserve">. The use of qualitative methodologies, and the focus on the lived-experience of individuals is an established methodology for informing the development of novel healthcare interventions, </w:t>
      </w:r>
      <w:r w:rsidR="007D589D" w:rsidRPr="00E056AE">
        <w:rPr>
          <w:rFonts w:cstheme="minorHAnsi"/>
          <w:szCs w:val="22"/>
        </w:rPr>
        <w:t>an</w:t>
      </w:r>
      <w:r w:rsidR="00A30884" w:rsidRPr="00E056AE">
        <w:rPr>
          <w:rFonts w:cstheme="minorHAnsi"/>
          <w:szCs w:val="22"/>
        </w:rPr>
        <w:t>d</w:t>
      </w:r>
      <w:r w:rsidR="007D589D" w:rsidRPr="00E056AE">
        <w:rPr>
          <w:rFonts w:cstheme="minorHAnsi"/>
          <w:szCs w:val="22"/>
        </w:rPr>
        <w:t xml:space="preserve"> is a process used in</w:t>
      </w:r>
      <w:r w:rsidR="00C05034" w:rsidRPr="00E056AE">
        <w:rPr>
          <w:rFonts w:cstheme="minorHAnsi"/>
          <w:szCs w:val="22"/>
        </w:rPr>
        <w:t xml:space="preserve"> Experience-Based Co-Design.</w:t>
      </w:r>
      <w:r w:rsidR="00C05034" w:rsidRPr="00E056AE">
        <w:rPr>
          <w:rFonts w:cstheme="minorHAnsi"/>
          <w:szCs w:val="22"/>
        </w:rPr>
        <w:fldChar w:fldCharType="begin" w:fldLock="1"/>
      </w:r>
      <w:r w:rsidR="009553AE" w:rsidRPr="00E056AE">
        <w:rPr>
          <w:rFonts w:cstheme="minorHAnsi"/>
          <w:szCs w:val="22"/>
        </w:rPr>
        <w:instrText>ADDIN CSL_CITATION {"citationItems":[{"id":"ITEM-1","itemData":{"URL":"https://www.pointofcarefoundation.org.uk/resource/experience-based-co-design-ebcd-toolkit/step-by-step-guide/1-experience-based-co-design/","accessed":{"date-parts":[["2019","1","3"]]},"author":[{"dropping-particle":"","family":"Point of Care Foundation","given":"","non-dropping-particle":"","parse-names":false,"suffix":""}],"id":"ITEM-1","issued":{"date-parts":[["0"]]},"title":"What is Experience-based co-design?","type":"webpage"},"uris":["http://www.mendeley.com/documents/?uuid=c8eb492e-1cea-3f38-97f2-59095a582ab0"]}],"mendeley":{"formattedCitation":"&lt;sup&gt;22&lt;/sup&gt;","plainTextFormattedCitation":"22","previouslyFormattedCitation":"&lt;sup&gt;22&lt;/sup&gt;"},"properties":{"noteIndex":0},"schema":"https://github.com/citation-style-language/schema/raw/master/csl-citation.json"}</w:instrText>
      </w:r>
      <w:r w:rsidR="00C05034" w:rsidRPr="00E056AE">
        <w:rPr>
          <w:rFonts w:cstheme="minorHAnsi"/>
          <w:szCs w:val="22"/>
        </w:rPr>
        <w:fldChar w:fldCharType="separate"/>
      </w:r>
      <w:r w:rsidR="009553AE" w:rsidRPr="00E056AE">
        <w:rPr>
          <w:rFonts w:cstheme="minorHAnsi"/>
          <w:noProof/>
          <w:szCs w:val="22"/>
          <w:vertAlign w:val="superscript"/>
        </w:rPr>
        <w:t>22</w:t>
      </w:r>
      <w:r w:rsidR="00C05034" w:rsidRPr="00E056AE">
        <w:rPr>
          <w:rFonts w:cstheme="minorHAnsi"/>
          <w:szCs w:val="22"/>
        </w:rPr>
        <w:fldChar w:fldCharType="end"/>
      </w:r>
      <w:r w:rsidR="00C05034" w:rsidRPr="00E056AE">
        <w:rPr>
          <w:rFonts w:cstheme="minorHAnsi"/>
          <w:szCs w:val="22"/>
        </w:rPr>
        <w:t xml:space="preserve"> Our use of phenomenological methodologies during this study is also likely to generate dat</w:t>
      </w:r>
      <w:r w:rsidR="000D0ED5" w:rsidRPr="00E056AE">
        <w:rPr>
          <w:rFonts w:cstheme="minorHAnsi"/>
          <w:szCs w:val="22"/>
        </w:rPr>
        <w:t xml:space="preserve">a </w:t>
      </w:r>
      <w:r w:rsidR="00C05034" w:rsidRPr="00E056AE">
        <w:rPr>
          <w:rFonts w:cstheme="minorHAnsi"/>
          <w:szCs w:val="22"/>
        </w:rPr>
        <w:t>that reflects the public’s interests, therefore increasing the validity and social relevance of the research and any downstream work (such as interventions).</w:t>
      </w:r>
      <w:r w:rsidR="00C05034" w:rsidRPr="00E056AE">
        <w:rPr>
          <w:rFonts w:cstheme="minorHAnsi"/>
          <w:szCs w:val="22"/>
        </w:rPr>
        <w:fldChar w:fldCharType="begin" w:fldLock="1"/>
      </w:r>
      <w:r w:rsidR="009553AE" w:rsidRPr="00E056AE">
        <w:rPr>
          <w:rFonts w:cstheme="minorHAnsi"/>
          <w:szCs w:val="22"/>
        </w:rPr>
        <w:instrText>ADDIN CSL_CITATION {"citationItems":[{"id":"ITEM-1","itemData":{"DOI":"10.1016/0362-3319(86)90065-0","ISSN":"0362-3319","abstract":"This article analyzes the impact of phenomenology on social research. Central to phenomenological social science is the idea of “epistemic participation,” which allows knowledge to be understood in terms of its existential character. Research that is conducted with this aim generates data that reflect the public's interests. Such methodological sensitivity increases the validity of data and the social relevance of policy research. Thus it is argued that policy studies might be improved if they were phenomenologically informed.","author":[{"dropping-particle":"","family":"Murphy","given":"John W.","non-dropping-particle":"","parse-names":false,"suffix":""}],"container-title":"The Social Science Journal","id":"ITEM-1","issue":"3","issued":{"date-parts":[["1986","1","1"]]},"page":"327-343","publisher":"JAI","title":"Phenomenological social science: Research in the public interest","type":"article-journal","volume":"23"},"uris":["http://www.mendeley.com/documents/?uuid=eee6ee5c-b3a6-39c1-946d-b5c94d10992c"]}],"mendeley":{"formattedCitation":"&lt;sup&gt;23&lt;/sup&gt;","plainTextFormattedCitation":"23","previouslyFormattedCitation":"&lt;sup&gt;23&lt;/sup&gt;"},"properties":{"noteIndex":0},"schema":"https://github.com/citation-style-language/schema/raw/master/csl-citation.json"}</w:instrText>
      </w:r>
      <w:r w:rsidR="00C05034" w:rsidRPr="00E056AE">
        <w:rPr>
          <w:rFonts w:cstheme="minorHAnsi"/>
          <w:szCs w:val="22"/>
        </w:rPr>
        <w:fldChar w:fldCharType="separate"/>
      </w:r>
      <w:r w:rsidR="009553AE" w:rsidRPr="00E056AE">
        <w:rPr>
          <w:rFonts w:cstheme="minorHAnsi"/>
          <w:noProof/>
          <w:szCs w:val="22"/>
          <w:vertAlign w:val="superscript"/>
        </w:rPr>
        <w:t>23</w:t>
      </w:r>
      <w:r w:rsidR="00C05034" w:rsidRPr="00E056AE">
        <w:rPr>
          <w:rFonts w:cstheme="minorHAnsi"/>
          <w:szCs w:val="22"/>
        </w:rPr>
        <w:fldChar w:fldCharType="end"/>
      </w:r>
      <w:r w:rsidR="00670EDD" w:rsidRPr="00E056AE">
        <w:rPr>
          <w:rFonts w:cstheme="minorHAnsi"/>
          <w:szCs w:val="22"/>
        </w:rPr>
        <w:t xml:space="preserve"> The use of qualitative methodologies is also appropriate to begin to build networks of individuals (</w:t>
      </w:r>
      <w:r w:rsidR="00492A14" w:rsidRPr="00E056AE">
        <w:rPr>
          <w:rFonts w:cstheme="minorHAnsi"/>
          <w:szCs w:val="22"/>
        </w:rPr>
        <w:t>in our case</w:t>
      </w:r>
      <w:r w:rsidR="00670EDD" w:rsidRPr="00E056AE">
        <w:rPr>
          <w:rFonts w:cstheme="minorHAnsi"/>
          <w:szCs w:val="22"/>
        </w:rPr>
        <w:t xml:space="preserve"> migrant patients </w:t>
      </w:r>
      <w:r w:rsidR="00A30884" w:rsidRPr="00E056AE">
        <w:rPr>
          <w:rFonts w:cstheme="minorHAnsi"/>
          <w:szCs w:val="22"/>
        </w:rPr>
        <w:t>and health-service providers</w:t>
      </w:r>
      <w:r w:rsidR="00670EDD" w:rsidRPr="00E056AE">
        <w:rPr>
          <w:rFonts w:cstheme="minorHAnsi"/>
          <w:szCs w:val="22"/>
        </w:rPr>
        <w:t xml:space="preserve">) that would contribute to the future co-design of interventions and research, </w:t>
      </w:r>
      <w:r w:rsidR="00492A14" w:rsidRPr="00E056AE">
        <w:rPr>
          <w:rFonts w:cstheme="minorHAnsi"/>
          <w:szCs w:val="22"/>
        </w:rPr>
        <w:t>and which is something we are keen to go onto do after this research study</w:t>
      </w:r>
      <w:r w:rsidR="00A30884" w:rsidRPr="00E056AE">
        <w:rPr>
          <w:rFonts w:cstheme="minorHAnsi"/>
          <w:szCs w:val="22"/>
        </w:rPr>
        <w:t>.</w:t>
      </w:r>
      <w:r w:rsidR="00670EDD" w:rsidRPr="00E056AE">
        <w:rPr>
          <w:rFonts w:cstheme="minorHAnsi"/>
          <w:szCs w:val="22"/>
        </w:rPr>
        <w:fldChar w:fldCharType="begin" w:fldLock="1"/>
      </w:r>
      <w:r w:rsidR="009553AE" w:rsidRPr="00E056AE">
        <w:rPr>
          <w:rFonts w:cstheme="minorHAnsi"/>
          <w:szCs w:val="22"/>
        </w:rPr>
        <w:instrText>ADDIN CSL_CITATION {"citationItems":[{"id":"ITEM-1","itemData":{"DOI":"10.1016/J.JENVMAN.2008.05.020","ISSN":"0301-4797","abstract":"This article uses an analysis of the ‘knowledge politics’ of the Botany Community Participation and Review Committee (CPRC) to argue that the Habermasian ideals framing the CPRC are flawed. Habermasian communicative ethics centre upon the notion that fair, free and open forms of debate and communication ensure that no one form of reasoning and/or knowledge dominates others, and so commonly frame attempts to facilitate public participation in technical decision-making. However, in practice, Habermas' advocacy of ‘the power of the better argument’ (1984) supports adversarial debate and favours conventionally validated (i.e. scientific) forms of knowledge over others. This article identifies this departure from the vision underpinning communicative ethics with the routine deployment of a flawed conception of knowledge. This view – that knowledge is representational in character (that is, in effect, a ‘mirror’ onto the world) – marginalises lay contributions by rendering them of secondary status (i.e. that they are ‘values’); diminishes them by insisting that they take conventional ‘expert like’ representational form; and supports ‘deficit model’ approaches (the belief that public antipathy results from knowledge ‘deficits’ resolvable by expert mediated enhancements in technical literacy). A non-representational epistemology is used to argue that effective participation must rather account for how knowledge is constructed by and through processes, including those of participation/deliberation, rather than existing autonomously of them. The implications of this emphasis on processes, rather than on the sources of and formal characteristics of knowledge, are examined both for public participation and for the dynamics of late-modernity more generally.","author":[{"dropping-particle":"","family":"Healy","given":"Stephen","non-dropping-particle":"","parse-names":false,"suffix":""}],"container-title":"Journal of Environmental Management","id":"ITEM-1","issue":"4","issued":{"date-parts":[["2009","4","1"]]},"page":"1644-1654","publisher":"Academic Press","title":"Toward an epistemology of public participation","type":"article-journal","volume":"90"},"uris":["http://www.mendeley.com/documents/?uuid=fd082046-9a0f-346a-a80c-00f7f575a775"]}],"mendeley":{"formattedCitation":"&lt;sup&gt;24&lt;/sup&gt;","plainTextFormattedCitation":"24","previouslyFormattedCitation":"&lt;sup&gt;24&lt;/sup&gt;"},"properties":{"noteIndex":0},"schema":"https://github.com/citation-style-language/schema/raw/master/csl-citation.json"}</w:instrText>
      </w:r>
      <w:r w:rsidR="00670EDD" w:rsidRPr="00E056AE">
        <w:rPr>
          <w:rFonts w:cstheme="minorHAnsi"/>
          <w:szCs w:val="22"/>
        </w:rPr>
        <w:fldChar w:fldCharType="separate"/>
      </w:r>
      <w:r w:rsidR="009553AE" w:rsidRPr="00E056AE">
        <w:rPr>
          <w:rFonts w:cstheme="minorHAnsi"/>
          <w:noProof/>
          <w:szCs w:val="22"/>
          <w:vertAlign w:val="superscript"/>
        </w:rPr>
        <w:t>24</w:t>
      </w:r>
      <w:r w:rsidR="00670EDD" w:rsidRPr="00E056AE">
        <w:rPr>
          <w:rFonts w:cstheme="minorHAnsi"/>
          <w:szCs w:val="22"/>
        </w:rPr>
        <w:fldChar w:fldCharType="end"/>
      </w:r>
      <w:r w:rsidR="00670EDD" w:rsidRPr="00E056AE">
        <w:rPr>
          <w:rFonts w:cstheme="minorHAnsi"/>
          <w:szCs w:val="22"/>
        </w:rPr>
        <w:t xml:space="preserve"> </w:t>
      </w:r>
    </w:p>
    <w:p w14:paraId="36E7EA9F" w14:textId="77777777" w:rsidR="00694FCB" w:rsidRPr="00E056AE" w:rsidRDefault="00694FCB" w:rsidP="00694FCB">
      <w:pPr>
        <w:rPr>
          <w:rFonts w:cstheme="minorHAnsi"/>
          <w:szCs w:val="22"/>
        </w:rPr>
      </w:pPr>
    </w:p>
    <w:p w14:paraId="3030D10B" w14:textId="532F25F9" w:rsidR="00475FDA" w:rsidRPr="00E056AE" w:rsidRDefault="00552E09" w:rsidP="003802A1">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4</w:t>
      </w:r>
      <w:r w:rsidR="002D6FB1" w:rsidRPr="00E056AE">
        <w:rPr>
          <w:rFonts w:asciiTheme="minorHAnsi" w:hAnsiTheme="minorHAnsi" w:cstheme="minorHAnsi"/>
          <w:color w:val="auto"/>
          <w:sz w:val="22"/>
          <w:szCs w:val="22"/>
        </w:rPr>
        <w:tab/>
      </w:r>
      <w:r w:rsidR="00B15108" w:rsidRPr="00E056AE">
        <w:rPr>
          <w:rFonts w:asciiTheme="minorHAnsi" w:hAnsiTheme="minorHAnsi" w:cstheme="minorHAnsi"/>
          <w:color w:val="auto"/>
          <w:sz w:val="22"/>
          <w:szCs w:val="22"/>
        </w:rPr>
        <w:t>RESEARCH QUESTION/AIM(S)</w:t>
      </w:r>
    </w:p>
    <w:p w14:paraId="4A2445D1" w14:textId="77777777" w:rsidR="00963C7A" w:rsidRPr="00E056AE" w:rsidRDefault="00963C7A" w:rsidP="005567CC">
      <w:pPr>
        <w:spacing w:after="0" w:line="240" w:lineRule="auto"/>
        <w:rPr>
          <w:rFonts w:cstheme="minorHAnsi"/>
          <w:b/>
          <w:szCs w:val="22"/>
        </w:rPr>
      </w:pPr>
    </w:p>
    <w:p w14:paraId="72AA58F9" w14:textId="2A62CFF5" w:rsidR="00475FDA" w:rsidRPr="00E056AE" w:rsidRDefault="00552E09" w:rsidP="005567CC">
      <w:pPr>
        <w:spacing w:after="0" w:line="240" w:lineRule="auto"/>
        <w:rPr>
          <w:rFonts w:cstheme="minorHAnsi"/>
          <w:b/>
          <w:bCs/>
          <w:szCs w:val="22"/>
        </w:rPr>
      </w:pPr>
      <w:r w:rsidRPr="00E056AE">
        <w:rPr>
          <w:rFonts w:cstheme="minorHAnsi"/>
          <w:b/>
          <w:szCs w:val="22"/>
        </w:rPr>
        <w:t>4</w:t>
      </w:r>
      <w:r w:rsidR="00475FDA" w:rsidRPr="00E056AE">
        <w:rPr>
          <w:rFonts w:cstheme="minorHAnsi"/>
          <w:b/>
          <w:szCs w:val="22"/>
        </w:rPr>
        <w:t>.1</w:t>
      </w:r>
      <w:r w:rsidR="00093582" w:rsidRPr="00E056AE">
        <w:rPr>
          <w:rFonts w:cstheme="minorHAnsi"/>
          <w:szCs w:val="22"/>
        </w:rPr>
        <w:tab/>
      </w:r>
      <w:r w:rsidR="00B15108" w:rsidRPr="00E056AE">
        <w:rPr>
          <w:rFonts w:cstheme="minorHAnsi"/>
          <w:b/>
          <w:bCs/>
          <w:szCs w:val="22"/>
        </w:rPr>
        <w:t>Objectives</w:t>
      </w:r>
    </w:p>
    <w:p w14:paraId="2BD0C0B3" w14:textId="1664B746" w:rsidR="00A30884" w:rsidRPr="00E056AE" w:rsidRDefault="00B54F52" w:rsidP="005567CC">
      <w:pPr>
        <w:spacing w:after="0" w:line="240" w:lineRule="auto"/>
        <w:rPr>
          <w:rFonts w:cstheme="minorHAnsi"/>
          <w:bCs/>
          <w:szCs w:val="22"/>
        </w:rPr>
      </w:pPr>
      <w:r w:rsidRPr="00E056AE">
        <w:rPr>
          <w:rFonts w:cstheme="minorHAnsi"/>
          <w:bCs/>
          <w:szCs w:val="22"/>
        </w:rPr>
        <w:t>To understand health-service provider and migrant patient perspective on LTBI and TB treatment – considering what ‘success’ means in the context of treatment, and how these perspectives can inform future interventions designed to improve treatment outcomes – through 4 key questions:</w:t>
      </w:r>
    </w:p>
    <w:p w14:paraId="5DFEABC3" w14:textId="77777777" w:rsidR="00B54F52" w:rsidRPr="00E056AE" w:rsidRDefault="00B54F52" w:rsidP="005567CC">
      <w:pPr>
        <w:spacing w:after="0" w:line="240" w:lineRule="auto"/>
        <w:rPr>
          <w:rFonts w:cstheme="minorHAnsi"/>
          <w:b/>
          <w:bCs/>
          <w:szCs w:val="22"/>
        </w:rPr>
      </w:pPr>
    </w:p>
    <w:p w14:paraId="653B0CCE" w14:textId="77777777" w:rsidR="00A30884" w:rsidRPr="00E056AE" w:rsidRDefault="00A30884" w:rsidP="00A30884">
      <w:pPr>
        <w:spacing w:line="240" w:lineRule="auto"/>
        <w:rPr>
          <w:rFonts w:cstheme="minorHAnsi"/>
          <w:szCs w:val="22"/>
        </w:rPr>
      </w:pPr>
      <w:r w:rsidRPr="00E056AE">
        <w:rPr>
          <w:rFonts w:cstheme="minorHAnsi"/>
          <w:szCs w:val="22"/>
        </w:rPr>
        <w:t>1. What are the views, experiences, and concerns of both migrant patients and health-service providers around treatment for LTBI and TB</w:t>
      </w:r>
    </w:p>
    <w:p w14:paraId="256739FE" w14:textId="343CF44C" w:rsidR="00A30884" w:rsidRPr="00E056AE" w:rsidRDefault="00A30884" w:rsidP="00A30884">
      <w:pPr>
        <w:spacing w:line="240" w:lineRule="auto"/>
        <w:rPr>
          <w:rFonts w:cstheme="minorHAnsi"/>
          <w:szCs w:val="22"/>
        </w:rPr>
      </w:pPr>
      <w:r w:rsidRPr="00E056AE">
        <w:rPr>
          <w:rFonts w:cstheme="minorHAnsi"/>
          <w:szCs w:val="22"/>
        </w:rPr>
        <w:t>2. What are their perspectives on what constitutes ‘successful</w:t>
      </w:r>
      <w:r w:rsidR="00B54F52" w:rsidRPr="00E056AE">
        <w:rPr>
          <w:rFonts w:cstheme="minorHAnsi"/>
          <w:szCs w:val="22"/>
        </w:rPr>
        <w:t>’</w:t>
      </w:r>
      <w:r w:rsidRPr="00E056AE">
        <w:rPr>
          <w:rFonts w:cstheme="minorHAnsi"/>
          <w:szCs w:val="22"/>
        </w:rPr>
        <w:t xml:space="preserve"> treatment</w:t>
      </w:r>
    </w:p>
    <w:p w14:paraId="0428821F" w14:textId="77777777" w:rsidR="00A30884" w:rsidRPr="00E056AE" w:rsidRDefault="00A30884" w:rsidP="00A30884">
      <w:pPr>
        <w:spacing w:line="240" w:lineRule="auto"/>
        <w:rPr>
          <w:rFonts w:cstheme="minorHAnsi"/>
          <w:szCs w:val="22"/>
        </w:rPr>
      </w:pPr>
      <w:r w:rsidRPr="00E056AE">
        <w:rPr>
          <w:rFonts w:cstheme="minorHAnsi"/>
          <w:szCs w:val="22"/>
        </w:rPr>
        <w:t>3. Are there specific factors that influence ‘successful’ treatment outcomes</w:t>
      </w:r>
    </w:p>
    <w:p w14:paraId="21147F42" w14:textId="77777777" w:rsidR="00A30884" w:rsidRPr="00E056AE" w:rsidRDefault="00A30884" w:rsidP="00A30884">
      <w:pPr>
        <w:spacing w:line="240" w:lineRule="auto"/>
        <w:rPr>
          <w:rFonts w:cstheme="minorHAnsi"/>
          <w:szCs w:val="22"/>
        </w:rPr>
      </w:pPr>
      <w:r w:rsidRPr="00E056AE">
        <w:rPr>
          <w:rFonts w:cstheme="minorHAnsi"/>
          <w:szCs w:val="22"/>
        </w:rPr>
        <w:t>4. what do participants consider targets for novel interventions designed to provide ‘successful’ treatment outcomes.</w:t>
      </w:r>
    </w:p>
    <w:p w14:paraId="7D955717" w14:textId="77777777" w:rsidR="00A30884" w:rsidRPr="00E056AE" w:rsidRDefault="00A30884" w:rsidP="005567CC">
      <w:pPr>
        <w:spacing w:after="0" w:line="240" w:lineRule="auto"/>
        <w:rPr>
          <w:rFonts w:cstheme="minorHAnsi"/>
          <w:b/>
          <w:bCs/>
          <w:szCs w:val="22"/>
        </w:rPr>
      </w:pPr>
    </w:p>
    <w:p w14:paraId="63AA5114" w14:textId="38EFDFAE" w:rsidR="00B1300D" w:rsidRPr="00E056AE" w:rsidRDefault="00B1300D" w:rsidP="00B1300D">
      <w:pPr>
        <w:pStyle w:val="ListParagraph"/>
        <w:spacing w:line="240" w:lineRule="auto"/>
        <w:rPr>
          <w:rFonts w:cstheme="minorHAnsi"/>
        </w:rPr>
      </w:pPr>
    </w:p>
    <w:p w14:paraId="6564F106" w14:textId="77777777" w:rsidR="00B54F52" w:rsidRPr="00E056AE" w:rsidRDefault="00B54F52" w:rsidP="00B1300D">
      <w:pPr>
        <w:pStyle w:val="ListParagraph"/>
        <w:spacing w:line="240" w:lineRule="auto"/>
        <w:rPr>
          <w:rFonts w:cstheme="minorHAnsi"/>
        </w:rPr>
      </w:pPr>
    </w:p>
    <w:p w14:paraId="515EDD92" w14:textId="148356B3" w:rsidR="00475FDA" w:rsidRPr="00E056AE" w:rsidRDefault="00552E09" w:rsidP="003802A1">
      <w:pPr>
        <w:spacing w:line="240" w:lineRule="auto"/>
        <w:rPr>
          <w:rFonts w:cstheme="minorHAnsi"/>
          <w:b/>
          <w:szCs w:val="22"/>
        </w:rPr>
      </w:pPr>
      <w:r w:rsidRPr="00E056AE">
        <w:rPr>
          <w:rFonts w:cstheme="minorHAnsi"/>
          <w:b/>
          <w:szCs w:val="22"/>
        </w:rPr>
        <w:t>4</w:t>
      </w:r>
      <w:r w:rsidR="00966380" w:rsidRPr="00E056AE">
        <w:rPr>
          <w:rFonts w:cstheme="minorHAnsi"/>
          <w:b/>
          <w:szCs w:val="22"/>
        </w:rPr>
        <w:t>.2</w:t>
      </w:r>
      <w:r w:rsidR="00093582" w:rsidRPr="00E056AE">
        <w:rPr>
          <w:rFonts w:cstheme="minorHAnsi"/>
          <w:b/>
          <w:szCs w:val="22"/>
        </w:rPr>
        <w:tab/>
      </w:r>
      <w:r w:rsidR="00966380" w:rsidRPr="00E056AE">
        <w:rPr>
          <w:rFonts w:cstheme="minorHAnsi"/>
          <w:b/>
          <w:szCs w:val="22"/>
        </w:rPr>
        <w:t>Outcome</w:t>
      </w:r>
    </w:p>
    <w:p w14:paraId="4A2DCCB8" w14:textId="7073236E" w:rsidR="00845123" w:rsidRPr="00E056AE" w:rsidRDefault="001860AB" w:rsidP="0099180D">
      <w:pPr>
        <w:pStyle w:val="ListParagraph"/>
        <w:numPr>
          <w:ilvl w:val="0"/>
          <w:numId w:val="32"/>
        </w:numPr>
        <w:spacing w:line="240" w:lineRule="auto"/>
        <w:rPr>
          <w:rFonts w:cstheme="minorHAnsi"/>
        </w:rPr>
      </w:pPr>
      <w:r w:rsidRPr="00E056AE">
        <w:rPr>
          <w:rFonts w:cstheme="minorHAnsi"/>
        </w:rPr>
        <w:t>D</w:t>
      </w:r>
      <w:r w:rsidR="00845123" w:rsidRPr="00E056AE">
        <w:rPr>
          <w:rFonts w:cstheme="minorHAnsi"/>
        </w:rPr>
        <w:t>ocument</w:t>
      </w:r>
      <w:r w:rsidRPr="00E056AE">
        <w:rPr>
          <w:rFonts w:cstheme="minorHAnsi"/>
        </w:rPr>
        <w:t>ation of</w:t>
      </w:r>
      <w:r w:rsidR="00845123" w:rsidRPr="00E056AE">
        <w:rPr>
          <w:rFonts w:cstheme="minorHAnsi"/>
        </w:rPr>
        <w:t xml:space="preserve"> the views, concerns, and experiences of migrant patients and </w:t>
      </w:r>
      <w:r w:rsidRPr="00E056AE">
        <w:rPr>
          <w:rFonts w:cstheme="minorHAnsi"/>
        </w:rPr>
        <w:t xml:space="preserve">health-service providers </w:t>
      </w:r>
      <w:r w:rsidR="00845123" w:rsidRPr="00E056AE">
        <w:rPr>
          <w:rFonts w:cstheme="minorHAnsi"/>
        </w:rPr>
        <w:t xml:space="preserve">around the treatment </w:t>
      </w:r>
      <w:r w:rsidR="00566220" w:rsidRPr="00E056AE">
        <w:rPr>
          <w:rFonts w:cstheme="minorHAnsi"/>
        </w:rPr>
        <w:t>of LTBI</w:t>
      </w:r>
      <w:r w:rsidR="00845123" w:rsidRPr="00E056AE">
        <w:rPr>
          <w:rFonts w:cstheme="minorHAnsi"/>
        </w:rPr>
        <w:t xml:space="preserve"> and TB</w:t>
      </w:r>
    </w:p>
    <w:p w14:paraId="0DA1D391" w14:textId="608ADC2E" w:rsidR="0099180D" w:rsidRPr="00E056AE" w:rsidRDefault="0099180D" w:rsidP="0099180D">
      <w:pPr>
        <w:pStyle w:val="ListParagraph"/>
        <w:numPr>
          <w:ilvl w:val="0"/>
          <w:numId w:val="32"/>
        </w:numPr>
        <w:spacing w:line="240" w:lineRule="auto"/>
        <w:rPr>
          <w:rFonts w:cstheme="minorHAnsi"/>
        </w:rPr>
      </w:pPr>
      <w:r w:rsidRPr="00E056AE">
        <w:rPr>
          <w:rFonts w:cstheme="minorHAnsi"/>
        </w:rPr>
        <w:lastRenderedPageBreak/>
        <w:t>A comparative phenomenological understanding of LTBI and TB treatment from</w:t>
      </w:r>
      <w:r w:rsidR="002A12F8" w:rsidRPr="00E056AE">
        <w:rPr>
          <w:rFonts w:cstheme="minorHAnsi"/>
        </w:rPr>
        <w:t xml:space="preserve"> migrant</w:t>
      </w:r>
      <w:r w:rsidRPr="00E056AE">
        <w:rPr>
          <w:rFonts w:cstheme="minorHAnsi"/>
        </w:rPr>
        <w:t xml:space="preserve"> patient and staff perspectives</w:t>
      </w:r>
    </w:p>
    <w:p w14:paraId="1BF16899" w14:textId="62025F9B" w:rsidR="00B1300D" w:rsidRPr="00E056AE" w:rsidRDefault="0099180D" w:rsidP="001406ED">
      <w:pPr>
        <w:pStyle w:val="ListParagraph"/>
        <w:numPr>
          <w:ilvl w:val="0"/>
          <w:numId w:val="21"/>
        </w:numPr>
        <w:spacing w:line="240" w:lineRule="auto"/>
        <w:rPr>
          <w:rFonts w:cstheme="minorHAnsi"/>
        </w:rPr>
      </w:pPr>
      <w:r w:rsidRPr="00E056AE">
        <w:rPr>
          <w:rFonts w:cstheme="minorHAnsi"/>
        </w:rPr>
        <w:t xml:space="preserve">The identification of factors </w:t>
      </w:r>
      <w:r w:rsidR="00B1300D" w:rsidRPr="00E056AE">
        <w:rPr>
          <w:rFonts w:cstheme="minorHAnsi"/>
        </w:rPr>
        <w:t xml:space="preserve">that </w:t>
      </w:r>
      <w:r w:rsidR="001860AB" w:rsidRPr="00E056AE">
        <w:rPr>
          <w:rFonts w:cstheme="minorHAnsi"/>
        </w:rPr>
        <w:t>may contribute to ‘successful’ treatment</w:t>
      </w:r>
    </w:p>
    <w:p w14:paraId="0413AC93" w14:textId="48939348" w:rsidR="001860AB" w:rsidRPr="00E056AE" w:rsidRDefault="00B1300D" w:rsidP="00566220">
      <w:pPr>
        <w:pStyle w:val="ListParagraph"/>
        <w:numPr>
          <w:ilvl w:val="0"/>
          <w:numId w:val="21"/>
        </w:numPr>
        <w:spacing w:line="240" w:lineRule="auto"/>
        <w:rPr>
          <w:rFonts w:cstheme="minorHAnsi"/>
        </w:rPr>
      </w:pPr>
      <w:r w:rsidRPr="00E056AE">
        <w:rPr>
          <w:rFonts w:cstheme="minorHAnsi"/>
        </w:rPr>
        <w:t xml:space="preserve">Identification of targets for novel interventions designed to improve </w:t>
      </w:r>
      <w:r w:rsidR="002A12F8" w:rsidRPr="00E056AE">
        <w:rPr>
          <w:rFonts w:cstheme="minorHAnsi"/>
        </w:rPr>
        <w:t xml:space="preserve">migrant </w:t>
      </w:r>
      <w:r w:rsidRPr="00E056AE">
        <w:rPr>
          <w:rFonts w:cstheme="minorHAnsi"/>
        </w:rPr>
        <w:t xml:space="preserve">patient and </w:t>
      </w:r>
      <w:r w:rsidR="001860AB" w:rsidRPr="00E056AE">
        <w:rPr>
          <w:rFonts w:cstheme="minorHAnsi"/>
        </w:rPr>
        <w:t xml:space="preserve">health-service provider </w:t>
      </w:r>
      <w:r w:rsidRPr="00E056AE">
        <w:rPr>
          <w:rFonts w:cstheme="minorHAnsi"/>
        </w:rPr>
        <w:t xml:space="preserve">experience, as well as </w:t>
      </w:r>
      <w:r w:rsidR="0099180D" w:rsidRPr="00E056AE">
        <w:rPr>
          <w:rFonts w:cstheme="minorHAnsi"/>
        </w:rPr>
        <w:t>improve treatment outcomes.</w:t>
      </w:r>
      <w:r w:rsidR="00566220" w:rsidRPr="00E056AE">
        <w:rPr>
          <w:rFonts w:cstheme="minorHAnsi"/>
        </w:rPr>
        <w:t xml:space="preserve"> </w:t>
      </w:r>
    </w:p>
    <w:p w14:paraId="5CF62CFA" w14:textId="0294E97A" w:rsidR="00997241" w:rsidRPr="00E056AE" w:rsidRDefault="00997241" w:rsidP="00997241">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5</w:t>
      </w:r>
      <w:r w:rsidRPr="00E056AE">
        <w:rPr>
          <w:rFonts w:asciiTheme="minorHAnsi" w:hAnsiTheme="minorHAnsi" w:cstheme="minorHAnsi"/>
          <w:color w:val="auto"/>
          <w:sz w:val="22"/>
          <w:szCs w:val="22"/>
        </w:rPr>
        <w:tab/>
        <w:t>STUDY DESIGN and METHODS of DATA COLLECTION AND DATA ANALYIS</w:t>
      </w:r>
    </w:p>
    <w:p w14:paraId="3483BEF2" w14:textId="77777777" w:rsidR="001860AB" w:rsidRPr="00E056AE" w:rsidRDefault="001860AB" w:rsidP="000077BB">
      <w:pPr>
        <w:rPr>
          <w:rFonts w:cstheme="minorHAnsi"/>
        </w:rPr>
      </w:pPr>
    </w:p>
    <w:p w14:paraId="04A13D55" w14:textId="1F27AC84" w:rsidR="001860AB" w:rsidRPr="00E056AE" w:rsidRDefault="001860AB" w:rsidP="000077BB">
      <w:pPr>
        <w:rPr>
          <w:rFonts w:cstheme="minorHAnsi"/>
          <w:b/>
        </w:rPr>
      </w:pPr>
      <w:r w:rsidRPr="00E056AE">
        <w:rPr>
          <w:rFonts w:cstheme="minorHAnsi"/>
          <w:b/>
        </w:rPr>
        <w:t>Study Design</w:t>
      </w:r>
    </w:p>
    <w:p w14:paraId="25CDA49F" w14:textId="51F94543" w:rsidR="000077BB" w:rsidRPr="00E056AE" w:rsidRDefault="00AC3979" w:rsidP="000077BB">
      <w:pPr>
        <w:rPr>
          <w:rFonts w:cstheme="minorHAnsi"/>
        </w:rPr>
      </w:pPr>
      <w:r w:rsidRPr="00E056AE">
        <w:rPr>
          <w:rFonts w:cstheme="minorHAnsi"/>
        </w:rPr>
        <w:t>This will be a qualitative study utilising in-depth semi-structured interviews and focus groups</w:t>
      </w:r>
      <w:r w:rsidR="001860AB" w:rsidRPr="00E056AE">
        <w:rPr>
          <w:rFonts w:cstheme="minorHAnsi"/>
        </w:rPr>
        <w:t>.</w:t>
      </w:r>
    </w:p>
    <w:p w14:paraId="62E2F015" w14:textId="635F6D65" w:rsidR="001860AB" w:rsidRPr="00E056AE" w:rsidRDefault="001860AB" w:rsidP="000077BB">
      <w:pPr>
        <w:rPr>
          <w:rFonts w:cstheme="minorHAnsi"/>
          <w:b/>
        </w:rPr>
      </w:pPr>
      <w:r w:rsidRPr="00E056AE">
        <w:rPr>
          <w:rFonts w:cstheme="minorHAnsi"/>
          <w:b/>
        </w:rPr>
        <w:t>Data collection</w:t>
      </w:r>
    </w:p>
    <w:p w14:paraId="3D74AD84" w14:textId="4159D87E" w:rsidR="00AD2C1D" w:rsidRPr="00E056AE" w:rsidRDefault="00AD2C1D" w:rsidP="000077BB">
      <w:pPr>
        <w:rPr>
          <w:rFonts w:cstheme="minorHAnsi"/>
        </w:rPr>
      </w:pPr>
      <w:r w:rsidRPr="00E056AE">
        <w:rPr>
          <w:rFonts w:cstheme="minorHAnsi"/>
        </w:rPr>
        <w:t xml:space="preserve">Data </w:t>
      </w:r>
      <w:r w:rsidR="002146B3" w:rsidRPr="00E056AE">
        <w:rPr>
          <w:rFonts w:cstheme="minorHAnsi"/>
        </w:rPr>
        <w:t>will be collected using a semi-structured topic guide</w:t>
      </w:r>
      <w:r w:rsidR="00BC3D9A" w:rsidRPr="00E056AE">
        <w:rPr>
          <w:rFonts w:cstheme="minorHAnsi"/>
        </w:rPr>
        <w:t>, which has been developed by the chief investigator and research team</w:t>
      </w:r>
      <w:r w:rsidR="006855B5" w:rsidRPr="00E056AE">
        <w:rPr>
          <w:rFonts w:cstheme="minorHAnsi"/>
        </w:rPr>
        <w:t>, and which will be attached to the PIS participants receive to aid in informing their decision</w:t>
      </w:r>
      <w:r w:rsidRPr="00E056AE">
        <w:rPr>
          <w:rFonts w:cstheme="minorHAnsi"/>
        </w:rPr>
        <w:t xml:space="preserve">. Being a semi-structured qualitative research project, the topic guide itself is not intended to be fully prescriptive/verbatim. The topic guide is intended to show the order </w:t>
      </w:r>
      <w:r w:rsidR="002146B3" w:rsidRPr="00E056AE">
        <w:rPr>
          <w:rFonts w:cstheme="minorHAnsi"/>
        </w:rPr>
        <w:t>in which topics will be explored</w:t>
      </w:r>
      <w:r w:rsidRPr="00E056AE">
        <w:rPr>
          <w:rFonts w:cstheme="minorHAnsi"/>
        </w:rPr>
        <w:t xml:space="preserve">, and the main questions the </w:t>
      </w:r>
      <w:r w:rsidR="002146B3" w:rsidRPr="00E056AE">
        <w:rPr>
          <w:rFonts w:cstheme="minorHAnsi"/>
        </w:rPr>
        <w:t>research is</w:t>
      </w:r>
      <w:r w:rsidRPr="00E056AE">
        <w:rPr>
          <w:rFonts w:cstheme="minorHAnsi"/>
        </w:rPr>
        <w:t xml:space="preserve"> seeking to </w:t>
      </w:r>
      <w:r w:rsidR="002C498E" w:rsidRPr="00E056AE">
        <w:rPr>
          <w:rFonts w:cstheme="minorHAnsi"/>
        </w:rPr>
        <w:t>answer</w:t>
      </w:r>
      <w:r w:rsidR="002146B3" w:rsidRPr="00E056AE">
        <w:rPr>
          <w:rFonts w:cstheme="minorHAnsi"/>
        </w:rPr>
        <w:t>,</w:t>
      </w:r>
      <w:r w:rsidR="002C498E" w:rsidRPr="00E056AE">
        <w:rPr>
          <w:rFonts w:cstheme="minorHAnsi"/>
        </w:rPr>
        <w:t xml:space="preserve"> but</w:t>
      </w:r>
      <w:r w:rsidRPr="00E056AE">
        <w:rPr>
          <w:rFonts w:cstheme="minorHAnsi"/>
        </w:rPr>
        <w:t xml:space="preserve"> will be somewhat dictated by the responses </w:t>
      </w:r>
      <w:r w:rsidR="002146B3" w:rsidRPr="00E056AE">
        <w:rPr>
          <w:rFonts w:cstheme="minorHAnsi"/>
        </w:rPr>
        <w:t xml:space="preserve">(e.g. experiences and priorities) </w:t>
      </w:r>
      <w:r w:rsidRPr="00E056AE">
        <w:rPr>
          <w:rFonts w:cstheme="minorHAnsi"/>
        </w:rPr>
        <w:t>of the participants.</w:t>
      </w:r>
      <w:r w:rsidR="00BC3D9A" w:rsidRPr="00E056AE">
        <w:rPr>
          <w:rFonts w:cstheme="minorHAnsi"/>
        </w:rPr>
        <w:t xml:space="preserve"> A separate topic guide will be prepared for use with migrant patients and with health-service providers, though each will cover </w:t>
      </w:r>
      <w:r w:rsidR="00560EA9" w:rsidRPr="00E056AE">
        <w:rPr>
          <w:rFonts w:cstheme="minorHAnsi"/>
        </w:rPr>
        <w:t>similar</w:t>
      </w:r>
      <w:r w:rsidR="00BC3D9A" w:rsidRPr="00E056AE">
        <w:rPr>
          <w:rFonts w:cstheme="minorHAnsi"/>
        </w:rPr>
        <w:t xml:space="preserve"> lines of questioning as the other. </w:t>
      </w:r>
    </w:p>
    <w:p w14:paraId="68B2C7E1" w14:textId="68CCEB79" w:rsidR="00FF76A1" w:rsidRPr="00E056AE" w:rsidRDefault="00FF76A1" w:rsidP="00FF76A1">
      <w:pPr>
        <w:rPr>
          <w:rFonts w:cstheme="minorHAnsi"/>
        </w:rPr>
      </w:pPr>
      <w:r w:rsidRPr="00E056AE">
        <w:rPr>
          <w:rFonts w:cstheme="minorHAnsi"/>
        </w:rPr>
        <w:t xml:space="preserve">Interviews will be conducted by </w:t>
      </w:r>
      <w:r w:rsidR="004274DC" w:rsidRPr="00E056AE">
        <w:rPr>
          <w:rFonts w:cstheme="minorHAnsi"/>
        </w:rPr>
        <w:t>a member of the research team</w:t>
      </w:r>
      <w:r w:rsidRPr="00E056AE">
        <w:rPr>
          <w:rFonts w:cstheme="minorHAnsi"/>
        </w:rPr>
        <w:t xml:space="preserve"> and will be documented through written recordings, and audio recordings (with participants’ permission). Where necessary to facilitate the interview, a translation service will be used (e.g. language line</w:t>
      </w:r>
      <w:r w:rsidR="004642AC" w:rsidRPr="00E056AE">
        <w:rPr>
          <w:rFonts w:cstheme="minorHAnsi"/>
        </w:rPr>
        <w:t xml:space="preserve"> or physical interpret</w:t>
      </w:r>
      <w:r w:rsidR="00A46FF9" w:rsidRPr="00E056AE">
        <w:rPr>
          <w:rFonts w:cstheme="minorHAnsi"/>
        </w:rPr>
        <w:t>er</w:t>
      </w:r>
      <w:r w:rsidRPr="00E056AE">
        <w:rPr>
          <w:rFonts w:cstheme="minorHAnsi"/>
        </w:rPr>
        <w:t>) in the conducting of interviews.</w:t>
      </w:r>
      <w:r w:rsidR="002146B3" w:rsidRPr="00E056AE">
        <w:rPr>
          <w:rFonts w:cstheme="minorHAnsi"/>
        </w:rPr>
        <w:t xml:space="preserve"> If preferred, participants may also write their responses to the questions in the topic guide, rather than orally.</w:t>
      </w:r>
    </w:p>
    <w:p w14:paraId="2DAAED70" w14:textId="2ED33317" w:rsidR="00FF76A1" w:rsidRPr="00E056AE" w:rsidRDefault="00FF76A1" w:rsidP="00FF76A1">
      <w:pPr>
        <w:rPr>
          <w:rFonts w:cstheme="minorHAnsi"/>
        </w:rPr>
      </w:pPr>
      <w:r w:rsidRPr="00E056AE">
        <w:rPr>
          <w:rFonts w:cstheme="minorHAnsi"/>
        </w:rPr>
        <w:t xml:space="preserve">Focus groups will be </w:t>
      </w:r>
      <w:r w:rsidR="002146B3" w:rsidRPr="00E056AE">
        <w:rPr>
          <w:rFonts w:cstheme="minorHAnsi"/>
        </w:rPr>
        <w:t xml:space="preserve">facilitated </w:t>
      </w:r>
      <w:r w:rsidRPr="00E056AE">
        <w:rPr>
          <w:rFonts w:cstheme="minorHAnsi"/>
        </w:rPr>
        <w:t xml:space="preserve">by </w:t>
      </w:r>
      <w:r w:rsidR="004274DC" w:rsidRPr="00E056AE">
        <w:rPr>
          <w:rFonts w:cstheme="minorHAnsi"/>
        </w:rPr>
        <w:t>a member of the research team</w:t>
      </w:r>
      <w:r w:rsidRPr="00E056AE">
        <w:rPr>
          <w:rFonts w:cstheme="minorHAnsi"/>
        </w:rPr>
        <w:t>, with a second member of the research team acting as a scribe to gather written data. Focus groups will also be audio recorded (with the permission of all attending participants).</w:t>
      </w:r>
    </w:p>
    <w:p w14:paraId="0994D971" w14:textId="5114860A" w:rsidR="00AD2C1D" w:rsidRPr="00E056AE" w:rsidRDefault="00AD2C1D" w:rsidP="000077BB">
      <w:pPr>
        <w:rPr>
          <w:rFonts w:cstheme="minorHAnsi"/>
          <w:b/>
        </w:rPr>
      </w:pPr>
      <w:r w:rsidRPr="00E056AE">
        <w:rPr>
          <w:rFonts w:cstheme="minorHAnsi"/>
          <w:b/>
        </w:rPr>
        <w:t>Data collection with migrant patients</w:t>
      </w:r>
    </w:p>
    <w:p w14:paraId="21053338" w14:textId="6F41EF77" w:rsidR="00AC3979" w:rsidRPr="00E056AE" w:rsidRDefault="002146B3" w:rsidP="000077BB">
      <w:pPr>
        <w:rPr>
          <w:rFonts w:cstheme="minorHAnsi"/>
        </w:rPr>
      </w:pPr>
      <w:r w:rsidRPr="00E056AE">
        <w:rPr>
          <w:rFonts w:cstheme="minorHAnsi"/>
        </w:rPr>
        <w:t xml:space="preserve">Data collection will be carried out individually with migrant patients (e.g. </w:t>
      </w:r>
      <w:r w:rsidR="00B65A63" w:rsidRPr="00E056AE">
        <w:rPr>
          <w:rFonts w:cstheme="minorHAnsi"/>
        </w:rPr>
        <w:t>i</w:t>
      </w:r>
      <w:r w:rsidR="00AC3979" w:rsidRPr="00E056AE">
        <w:rPr>
          <w:rFonts w:cstheme="minorHAnsi"/>
        </w:rPr>
        <w:t xml:space="preserve">ndividual interviews </w:t>
      </w:r>
      <w:r w:rsidRPr="00E056AE">
        <w:rPr>
          <w:rFonts w:cstheme="minorHAnsi"/>
        </w:rPr>
        <w:t>or written responses to topic guide if this is preferred)</w:t>
      </w:r>
      <w:r w:rsidR="00AC3979" w:rsidRPr="00E056AE">
        <w:rPr>
          <w:rFonts w:cstheme="minorHAnsi"/>
        </w:rPr>
        <w:t xml:space="preserve">. Interviews will be conducted in a </w:t>
      </w:r>
      <w:r w:rsidR="004274DC" w:rsidRPr="00E056AE">
        <w:rPr>
          <w:rFonts w:cstheme="minorHAnsi"/>
        </w:rPr>
        <w:t>private and confidential</w:t>
      </w:r>
      <w:r w:rsidR="004642AC" w:rsidRPr="00E056AE">
        <w:rPr>
          <w:rFonts w:cstheme="minorHAnsi"/>
        </w:rPr>
        <w:t xml:space="preserve"> </w:t>
      </w:r>
      <w:r w:rsidR="00AC3979" w:rsidRPr="00E056AE">
        <w:rPr>
          <w:rFonts w:cstheme="minorHAnsi"/>
        </w:rPr>
        <w:t>environment, or via phone depending on the availability and preference of the participant.</w:t>
      </w:r>
      <w:r w:rsidR="00AD2C1D" w:rsidRPr="00E056AE">
        <w:rPr>
          <w:rFonts w:cstheme="minorHAnsi"/>
        </w:rPr>
        <w:t xml:space="preserve"> Translation services (e.g. </w:t>
      </w:r>
      <w:proofErr w:type="spellStart"/>
      <w:r w:rsidRPr="00E056AE">
        <w:rPr>
          <w:rFonts w:cstheme="minorHAnsi"/>
        </w:rPr>
        <w:t>LanguageLine</w:t>
      </w:r>
      <w:proofErr w:type="spellEnd"/>
      <w:r w:rsidRPr="00E056AE">
        <w:rPr>
          <w:rFonts w:cstheme="minorHAnsi"/>
        </w:rPr>
        <w:t xml:space="preserve"> (NHS translation service)</w:t>
      </w:r>
      <w:r w:rsidR="00A46FF9" w:rsidRPr="00E056AE">
        <w:rPr>
          <w:rFonts w:cstheme="minorHAnsi"/>
        </w:rPr>
        <w:t xml:space="preserve"> or physical interpreter</w:t>
      </w:r>
      <w:r w:rsidR="00AD2C1D" w:rsidRPr="00E056AE">
        <w:rPr>
          <w:rFonts w:cstheme="minorHAnsi"/>
        </w:rPr>
        <w:t xml:space="preserve">) will be used if </w:t>
      </w:r>
      <w:r w:rsidRPr="00E056AE">
        <w:rPr>
          <w:rFonts w:cstheme="minorHAnsi"/>
        </w:rPr>
        <w:t xml:space="preserve">preferred </w:t>
      </w:r>
      <w:r w:rsidR="00AD2C1D" w:rsidRPr="00E056AE">
        <w:rPr>
          <w:rFonts w:cstheme="minorHAnsi"/>
        </w:rPr>
        <w:t>by the participant</w:t>
      </w:r>
      <w:r w:rsidR="00BC3D9A" w:rsidRPr="00E056AE">
        <w:rPr>
          <w:rFonts w:cstheme="minorHAnsi"/>
        </w:rPr>
        <w:t>.</w:t>
      </w:r>
      <w:r w:rsidR="004274DC" w:rsidRPr="00E056AE">
        <w:rPr>
          <w:rFonts w:cstheme="minorHAnsi"/>
        </w:rPr>
        <w:t xml:space="preserve"> With the patients’ consent</w:t>
      </w:r>
      <w:r w:rsidRPr="00E056AE">
        <w:rPr>
          <w:rFonts w:cstheme="minorHAnsi"/>
        </w:rPr>
        <w:t>,</w:t>
      </w:r>
      <w:r w:rsidR="004274DC" w:rsidRPr="00E056AE">
        <w:rPr>
          <w:rFonts w:cstheme="minorHAnsi"/>
        </w:rPr>
        <w:t xml:space="preserve"> all data will be recorded on digital Dictaphones, transcribed and anonymised prior to data analysis.</w:t>
      </w:r>
    </w:p>
    <w:p w14:paraId="6447DEFD" w14:textId="11E849DB" w:rsidR="00BC3D9A" w:rsidRPr="00E056AE" w:rsidRDefault="00BC3D9A" w:rsidP="000077BB">
      <w:pPr>
        <w:rPr>
          <w:rFonts w:cstheme="minorHAnsi"/>
        </w:rPr>
      </w:pPr>
      <w:r w:rsidRPr="00E056AE">
        <w:rPr>
          <w:rFonts w:cstheme="minorHAnsi"/>
        </w:rPr>
        <w:t xml:space="preserve">We are opting to only </w:t>
      </w:r>
      <w:r w:rsidR="002146B3" w:rsidRPr="00E056AE">
        <w:rPr>
          <w:rFonts w:cstheme="minorHAnsi"/>
        </w:rPr>
        <w:t xml:space="preserve">engage </w:t>
      </w:r>
      <w:r w:rsidRPr="00E056AE">
        <w:rPr>
          <w:rFonts w:cstheme="minorHAnsi"/>
        </w:rPr>
        <w:t>one-o</w:t>
      </w:r>
      <w:r w:rsidR="002146B3" w:rsidRPr="00E056AE">
        <w:rPr>
          <w:rFonts w:cstheme="minorHAnsi"/>
        </w:rPr>
        <w:t>n</w:t>
      </w:r>
      <w:r w:rsidRPr="00E056AE">
        <w:rPr>
          <w:rFonts w:cstheme="minorHAnsi"/>
        </w:rPr>
        <w:t xml:space="preserve">-one with patients due to the personal and potentially sensitive nature of the </w:t>
      </w:r>
      <w:r w:rsidR="002146B3" w:rsidRPr="00E056AE">
        <w:rPr>
          <w:rFonts w:cstheme="minorHAnsi"/>
        </w:rPr>
        <w:t>questions</w:t>
      </w:r>
      <w:r w:rsidRPr="00E056AE">
        <w:rPr>
          <w:rFonts w:cstheme="minorHAnsi"/>
        </w:rPr>
        <w:t xml:space="preserve">, and the fact it would not be suitable to interview individuals in a group setting – the only exception being if the patient has indicated they would like a chaperone/supportive person present, or if the </w:t>
      </w:r>
      <w:r w:rsidR="002146B3" w:rsidRPr="00E056AE">
        <w:rPr>
          <w:rFonts w:cstheme="minorHAnsi"/>
        </w:rPr>
        <w:t xml:space="preserve">preference </w:t>
      </w:r>
      <w:r w:rsidRPr="00E056AE">
        <w:rPr>
          <w:rFonts w:cstheme="minorHAnsi"/>
        </w:rPr>
        <w:t>for a translator is indicated.</w:t>
      </w:r>
    </w:p>
    <w:p w14:paraId="6F03A6BA" w14:textId="67C75C05" w:rsidR="00AD2C1D" w:rsidRPr="00E056AE" w:rsidRDefault="00BC3D9A" w:rsidP="000077BB">
      <w:pPr>
        <w:rPr>
          <w:rFonts w:cstheme="minorHAnsi"/>
          <w:b/>
        </w:rPr>
      </w:pPr>
      <w:r w:rsidRPr="00E056AE">
        <w:rPr>
          <w:rFonts w:cstheme="minorHAnsi"/>
          <w:b/>
        </w:rPr>
        <w:lastRenderedPageBreak/>
        <w:t>Data collection with health-service providers</w:t>
      </w:r>
    </w:p>
    <w:p w14:paraId="2CD1A490" w14:textId="49315AC1" w:rsidR="00AC3979" w:rsidRPr="00E056AE" w:rsidRDefault="00AC3979" w:rsidP="000077BB">
      <w:pPr>
        <w:rPr>
          <w:rFonts w:cstheme="minorHAnsi"/>
        </w:rPr>
      </w:pPr>
      <w:r w:rsidRPr="00E056AE">
        <w:rPr>
          <w:rFonts w:cstheme="minorHAnsi"/>
        </w:rPr>
        <w:t xml:space="preserve">Focus groups will be the primary mode of data collection when interacting with </w:t>
      </w:r>
      <w:r w:rsidR="00BC3D9A" w:rsidRPr="00E056AE">
        <w:rPr>
          <w:rFonts w:cstheme="minorHAnsi"/>
        </w:rPr>
        <w:t>health-</w:t>
      </w:r>
      <w:r w:rsidRPr="00E056AE">
        <w:rPr>
          <w:rFonts w:cstheme="minorHAnsi"/>
        </w:rPr>
        <w:t xml:space="preserve">service providers. </w:t>
      </w:r>
      <w:r w:rsidR="002146B3" w:rsidRPr="00E056AE">
        <w:rPr>
          <w:rFonts w:cstheme="minorHAnsi"/>
        </w:rPr>
        <w:t xml:space="preserve">However, </w:t>
      </w:r>
      <w:r w:rsidRPr="00E056AE">
        <w:rPr>
          <w:rFonts w:cstheme="minorHAnsi"/>
        </w:rPr>
        <w:t>we will also use one-to-one interviews</w:t>
      </w:r>
      <w:r w:rsidR="002146B3" w:rsidRPr="00E056AE">
        <w:rPr>
          <w:rFonts w:cstheme="minorHAnsi"/>
        </w:rPr>
        <w:t xml:space="preserve"> (in person or by phone)</w:t>
      </w:r>
      <w:r w:rsidRPr="00E056AE">
        <w:rPr>
          <w:rFonts w:cstheme="minorHAnsi"/>
        </w:rPr>
        <w:t xml:space="preserve"> </w:t>
      </w:r>
      <w:r w:rsidR="002146B3" w:rsidRPr="00E056AE">
        <w:rPr>
          <w:rFonts w:cstheme="minorHAnsi"/>
        </w:rPr>
        <w:t xml:space="preserve">or allow participants to provide written responses to the topic guide </w:t>
      </w:r>
      <w:r w:rsidRPr="00E056AE">
        <w:rPr>
          <w:rFonts w:cstheme="minorHAnsi"/>
        </w:rPr>
        <w:t>depending on the availability and preference of these participants.</w:t>
      </w:r>
      <w:r w:rsidR="00F61915" w:rsidRPr="00E056AE">
        <w:rPr>
          <w:rFonts w:cstheme="minorHAnsi"/>
        </w:rPr>
        <w:t xml:space="preserve"> Health-service providers not captured by the focus groups will be offered one-to-one interviews.</w:t>
      </w:r>
      <w:r w:rsidRPr="00E056AE">
        <w:rPr>
          <w:rFonts w:cstheme="minorHAnsi"/>
        </w:rPr>
        <w:t xml:space="preserve"> </w:t>
      </w:r>
    </w:p>
    <w:p w14:paraId="49C330EC" w14:textId="3B9DAF69" w:rsidR="00AC3979" w:rsidRPr="00E056AE" w:rsidRDefault="009D7F01" w:rsidP="000077BB">
      <w:pPr>
        <w:rPr>
          <w:rFonts w:cstheme="minorHAnsi"/>
        </w:rPr>
      </w:pPr>
      <w:r w:rsidRPr="00E056AE">
        <w:rPr>
          <w:rFonts w:cstheme="minorHAnsi"/>
        </w:rPr>
        <w:t xml:space="preserve">Focus groups </w:t>
      </w:r>
      <w:r w:rsidR="00BC3D9A" w:rsidRPr="00E056AE">
        <w:rPr>
          <w:rFonts w:cstheme="minorHAnsi"/>
        </w:rPr>
        <w:t>will be</w:t>
      </w:r>
      <w:r w:rsidRPr="00E056AE">
        <w:rPr>
          <w:rFonts w:cstheme="minorHAnsi"/>
        </w:rPr>
        <w:t xml:space="preserve"> used with </w:t>
      </w:r>
      <w:r w:rsidR="00BC3D9A" w:rsidRPr="00E056AE">
        <w:rPr>
          <w:rFonts w:cstheme="minorHAnsi"/>
        </w:rPr>
        <w:t>health-service providers</w:t>
      </w:r>
      <w:r w:rsidRPr="00E056AE">
        <w:rPr>
          <w:rFonts w:cstheme="minorHAnsi"/>
        </w:rPr>
        <w:t xml:space="preserve"> as we believe there is less risk to these individuals in disclosing their experiences of their professional environment.</w:t>
      </w:r>
      <w:r w:rsidR="00D07E83" w:rsidRPr="00E056AE">
        <w:rPr>
          <w:rFonts w:cstheme="minorHAnsi"/>
        </w:rPr>
        <w:t xml:space="preserve"> W</w:t>
      </w:r>
      <w:r w:rsidRPr="00E056AE">
        <w:rPr>
          <w:rFonts w:cstheme="minorHAnsi"/>
        </w:rPr>
        <w:t>e w</w:t>
      </w:r>
      <w:r w:rsidR="00D07E83" w:rsidRPr="00E056AE">
        <w:rPr>
          <w:rFonts w:cstheme="minorHAnsi"/>
        </w:rPr>
        <w:t>ill</w:t>
      </w:r>
      <w:r w:rsidR="00FE4EE2" w:rsidRPr="00E056AE">
        <w:rPr>
          <w:rFonts w:cstheme="minorHAnsi"/>
        </w:rPr>
        <w:t xml:space="preserve"> however</w:t>
      </w:r>
      <w:r w:rsidRPr="00E056AE">
        <w:rPr>
          <w:rFonts w:cstheme="minorHAnsi"/>
        </w:rPr>
        <w:t xml:space="preserve"> make one-to-one interviews available for those that </w:t>
      </w:r>
      <w:r w:rsidR="004274DC" w:rsidRPr="00E056AE">
        <w:rPr>
          <w:rFonts w:cstheme="minorHAnsi"/>
        </w:rPr>
        <w:t>prefer to discuss</w:t>
      </w:r>
      <w:r w:rsidRPr="00E056AE">
        <w:rPr>
          <w:rFonts w:cstheme="minorHAnsi"/>
        </w:rPr>
        <w:t xml:space="preserve"> their professional experiences</w:t>
      </w:r>
      <w:r w:rsidR="004274DC" w:rsidRPr="00E056AE">
        <w:rPr>
          <w:rFonts w:cstheme="minorHAnsi"/>
        </w:rPr>
        <w:t xml:space="preserve"> in a private and confidential setting</w:t>
      </w:r>
      <w:r w:rsidRPr="00E056AE">
        <w:rPr>
          <w:rFonts w:cstheme="minorHAnsi"/>
        </w:rPr>
        <w:t>, and also to be as pragmatic as possible (considerations of staff time and flexibility are important).</w:t>
      </w:r>
    </w:p>
    <w:p w14:paraId="6E97BEFE" w14:textId="1661E930" w:rsidR="00767BF3" w:rsidRPr="00E056AE" w:rsidRDefault="00FE4EE2" w:rsidP="000077BB">
      <w:pPr>
        <w:rPr>
          <w:rFonts w:cstheme="minorHAnsi"/>
        </w:rPr>
      </w:pPr>
      <w:r w:rsidRPr="00E056AE">
        <w:rPr>
          <w:rFonts w:cstheme="minorHAnsi"/>
        </w:rPr>
        <w:t>The topic guide used will be the same when engaging health-service providers through focus groups, or one-to-one interviews. However, a larger length of time will be allocated to focus groups (~ 2 hours) compared to one-to-one interviews (~ 45-60 mins) to accommodate the larger number of participants.</w:t>
      </w:r>
    </w:p>
    <w:p w14:paraId="453B86B1" w14:textId="77777777" w:rsidR="00767BF3" w:rsidRPr="00E056AE" w:rsidRDefault="00767BF3" w:rsidP="000077BB">
      <w:pPr>
        <w:rPr>
          <w:rFonts w:cstheme="minorHAnsi"/>
        </w:rPr>
      </w:pPr>
    </w:p>
    <w:p w14:paraId="2AD5CD5A" w14:textId="2BB2F304" w:rsidR="00767BF3" w:rsidRPr="00ED7841" w:rsidRDefault="00767BF3" w:rsidP="000077BB">
      <w:pPr>
        <w:rPr>
          <w:rFonts w:cstheme="minorHAnsi"/>
        </w:rPr>
      </w:pPr>
      <w:r w:rsidRPr="00ED7841">
        <w:rPr>
          <w:rFonts w:cstheme="minorHAnsi"/>
        </w:rPr>
        <w:t>*</w:t>
      </w:r>
      <w:r w:rsidR="00AC2AE9" w:rsidRPr="00ED7841">
        <w:rPr>
          <w:rFonts w:cstheme="minorHAnsi"/>
        </w:rPr>
        <w:t>Alternative</w:t>
      </w:r>
      <w:r w:rsidRPr="00ED7841">
        <w:rPr>
          <w:rFonts w:cstheme="minorHAnsi"/>
        </w:rPr>
        <w:t xml:space="preserve"> process</w:t>
      </w:r>
      <w:r w:rsidR="00AC2AE9" w:rsidRPr="00ED7841">
        <w:rPr>
          <w:rFonts w:cstheme="minorHAnsi"/>
        </w:rPr>
        <w:t xml:space="preserve"> for</w:t>
      </w:r>
      <w:r w:rsidRPr="00ED7841">
        <w:rPr>
          <w:rFonts w:cstheme="minorHAnsi"/>
        </w:rPr>
        <w:t xml:space="preserve"> data collection with health-service providers </w:t>
      </w:r>
      <w:proofErr w:type="gramStart"/>
      <w:r w:rsidRPr="00ED7841">
        <w:rPr>
          <w:rFonts w:cstheme="minorHAnsi"/>
        </w:rPr>
        <w:t>in light of</w:t>
      </w:r>
      <w:proofErr w:type="gramEnd"/>
      <w:r w:rsidRPr="00ED7841">
        <w:rPr>
          <w:rFonts w:cstheme="minorHAnsi"/>
        </w:rPr>
        <w:t xml:space="preserve"> Covid-19</w:t>
      </w:r>
    </w:p>
    <w:p w14:paraId="1827CE4E" w14:textId="0B21992D" w:rsidR="00767BF3" w:rsidRPr="00E056AE" w:rsidRDefault="00767BF3" w:rsidP="000077BB">
      <w:pPr>
        <w:rPr>
          <w:rFonts w:cstheme="minorHAnsi"/>
        </w:rPr>
      </w:pPr>
      <w:r w:rsidRPr="00ED7841">
        <w:rPr>
          <w:rFonts w:cstheme="minorHAnsi"/>
        </w:rPr>
        <w:t>As we already have approval for individual interviews with health-service providers we would like to clarify we will preferentially move to a system of using said individual interviews with this participant group. Any focus groups that might take place in the future would have consideration for social-distancing and maximum room occupancies whilst socially-distancing until such a time that these restrictions cease to be enforced.</w:t>
      </w:r>
    </w:p>
    <w:p w14:paraId="4A7F4B98" w14:textId="0AD61A39" w:rsidR="00FF76A1" w:rsidRPr="00E056AE" w:rsidRDefault="00FF76A1" w:rsidP="000077BB">
      <w:pPr>
        <w:rPr>
          <w:rFonts w:cstheme="minorHAnsi"/>
          <w:b/>
        </w:rPr>
      </w:pPr>
      <w:r w:rsidRPr="00E056AE">
        <w:rPr>
          <w:rFonts w:cstheme="minorHAnsi"/>
          <w:b/>
        </w:rPr>
        <w:t xml:space="preserve">Data </w:t>
      </w:r>
      <w:r w:rsidR="002146B3" w:rsidRPr="00E056AE">
        <w:rPr>
          <w:rFonts w:cstheme="minorHAnsi"/>
          <w:b/>
        </w:rPr>
        <w:t xml:space="preserve">Management and </w:t>
      </w:r>
      <w:r w:rsidRPr="00E056AE">
        <w:rPr>
          <w:rFonts w:cstheme="minorHAnsi"/>
          <w:b/>
        </w:rPr>
        <w:t>Analysis</w:t>
      </w:r>
    </w:p>
    <w:p w14:paraId="0CB4EE0D" w14:textId="3960623A" w:rsidR="00B51FD0" w:rsidRPr="00E056AE" w:rsidRDefault="00A7196C" w:rsidP="000077BB">
      <w:pPr>
        <w:rPr>
          <w:rFonts w:cstheme="minorHAnsi"/>
        </w:rPr>
      </w:pPr>
      <w:r w:rsidRPr="00E056AE">
        <w:rPr>
          <w:rFonts w:cstheme="minorHAnsi"/>
        </w:rPr>
        <w:t>Qualitative d</w:t>
      </w:r>
      <w:r w:rsidR="00B51FD0" w:rsidRPr="00E056AE">
        <w:rPr>
          <w:rFonts w:cstheme="minorHAnsi"/>
        </w:rPr>
        <w:t xml:space="preserve">ata will be analysed using </w:t>
      </w:r>
      <w:r w:rsidR="002A12F8" w:rsidRPr="00E056AE">
        <w:rPr>
          <w:rFonts w:cstheme="minorHAnsi"/>
        </w:rPr>
        <w:t>phenomenological</w:t>
      </w:r>
      <w:r w:rsidR="004274DC" w:rsidRPr="00E056AE">
        <w:rPr>
          <w:rFonts w:cstheme="minorHAnsi"/>
        </w:rPr>
        <w:t xml:space="preserve"> and/or thematic analysis techniques</w:t>
      </w:r>
      <w:r w:rsidR="00B51FD0" w:rsidRPr="00E056AE">
        <w:rPr>
          <w:rFonts w:cstheme="minorHAnsi"/>
        </w:rPr>
        <w:t xml:space="preserve">. Transcription and coding will be performed by </w:t>
      </w:r>
      <w:r w:rsidR="004274DC" w:rsidRPr="00E056AE">
        <w:rPr>
          <w:rFonts w:cstheme="minorHAnsi"/>
        </w:rPr>
        <w:t>members of the research team</w:t>
      </w:r>
      <w:r w:rsidR="00B51FD0" w:rsidRPr="00E056AE">
        <w:rPr>
          <w:rFonts w:cstheme="minorHAnsi"/>
        </w:rPr>
        <w:t xml:space="preserve">. </w:t>
      </w:r>
      <w:r w:rsidRPr="00E056AE">
        <w:rPr>
          <w:rFonts w:cstheme="minorHAnsi"/>
        </w:rPr>
        <w:t>Anonymised a</w:t>
      </w:r>
      <w:r w:rsidR="00B51FD0" w:rsidRPr="00E056AE">
        <w:rPr>
          <w:rFonts w:cstheme="minorHAnsi"/>
        </w:rPr>
        <w:t>udio recordings and written accounts/field notes will be transcribed into Word documents, with</w:t>
      </w:r>
      <w:r w:rsidR="000D3D7C" w:rsidRPr="00E056AE">
        <w:rPr>
          <w:rFonts w:cstheme="minorHAnsi"/>
        </w:rPr>
        <w:t xml:space="preserve"> transcription,</w:t>
      </w:r>
      <w:r w:rsidR="00B51FD0" w:rsidRPr="00E056AE">
        <w:rPr>
          <w:rFonts w:cstheme="minorHAnsi"/>
        </w:rPr>
        <w:t xml:space="preserve"> coding and analysis being facilitated by NVivo software.</w:t>
      </w:r>
    </w:p>
    <w:p w14:paraId="2280479F" w14:textId="3F266156" w:rsidR="00B51FD0" w:rsidRPr="00E056AE" w:rsidRDefault="003A59A8" w:rsidP="000077BB">
      <w:pPr>
        <w:rPr>
          <w:rFonts w:cstheme="minorHAnsi"/>
        </w:rPr>
      </w:pPr>
      <w:r w:rsidRPr="00E056AE">
        <w:rPr>
          <w:rFonts w:cstheme="minorHAnsi"/>
        </w:rPr>
        <w:t>We will de-identify data during the interview process, names will not be recorded or asked for</w:t>
      </w:r>
      <w:r w:rsidR="00192BA1" w:rsidRPr="00E056AE">
        <w:rPr>
          <w:rFonts w:cstheme="minorHAnsi"/>
        </w:rPr>
        <w:t xml:space="preserve">, besides those provided in the signing of consent forms. Where consent forms contain identifiable </w:t>
      </w:r>
      <w:r w:rsidR="00566220" w:rsidRPr="00E056AE">
        <w:rPr>
          <w:rFonts w:cstheme="minorHAnsi"/>
        </w:rPr>
        <w:t>information,</w:t>
      </w:r>
      <w:r w:rsidR="00192BA1" w:rsidRPr="00E056AE">
        <w:rPr>
          <w:rFonts w:cstheme="minorHAnsi"/>
        </w:rPr>
        <w:t xml:space="preserve"> these will be locked in a secure filing cabinet within the department and stored in line with St. George’s University of London Data management requirements. All audio and written recordings will be de-identified and anonymised during transcription.</w:t>
      </w:r>
      <w:r w:rsidR="00F24288" w:rsidRPr="00E056AE">
        <w:rPr>
          <w:rFonts w:cstheme="minorHAnsi"/>
        </w:rPr>
        <w:t xml:space="preserve"> Addresses, phone numbers and email addresses will only be collected as a mean to ensure individual rights of participants are upheld</w:t>
      </w:r>
      <w:r w:rsidR="00D07E83" w:rsidRPr="00E056AE">
        <w:rPr>
          <w:rFonts w:cstheme="minorHAnsi"/>
        </w:rPr>
        <w:t xml:space="preserve"> and will be not included on any recording that is sent to transcription/translation services</w:t>
      </w:r>
      <w:r w:rsidR="00F24288" w:rsidRPr="00E056AE">
        <w:rPr>
          <w:rFonts w:cstheme="minorHAnsi"/>
        </w:rPr>
        <w:t xml:space="preserve"> (such as the right to be informed – both about the use of individual participant data, and the final research output).</w:t>
      </w:r>
      <w:r w:rsidRPr="00E056AE">
        <w:rPr>
          <w:rFonts w:cstheme="minorHAnsi"/>
        </w:rPr>
        <w:t xml:space="preserve"> Voice recordings will be transcribed </w:t>
      </w:r>
      <w:r w:rsidR="00183BF5" w:rsidRPr="00E056AE">
        <w:rPr>
          <w:rFonts w:cstheme="minorHAnsi"/>
        </w:rPr>
        <w:t xml:space="preserve">anonymously </w:t>
      </w:r>
      <w:r w:rsidRPr="00E056AE">
        <w:rPr>
          <w:rFonts w:cstheme="minorHAnsi"/>
        </w:rPr>
        <w:t xml:space="preserve">to written formats, and no audio recording will be released as part of the write-up or dissemination. Where these indirect identifiers are used as part of the </w:t>
      </w:r>
      <w:r w:rsidRPr="00E056AE">
        <w:rPr>
          <w:rFonts w:cstheme="minorHAnsi"/>
        </w:rPr>
        <w:lastRenderedPageBreak/>
        <w:t xml:space="preserve">analysis </w:t>
      </w:r>
      <w:r w:rsidR="002E2321" w:rsidRPr="00E056AE">
        <w:rPr>
          <w:rFonts w:cstheme="minorHAnsi"/>
        </w:rPr>
        <w:t>process,</w:t>
      </w:r>
      <w:r w:rsidRPr="00E056AE">
        <w:rPr>
          <w:rFonts w:cstheme="minorHAnsi"/>
        </w:rPr>
        <w:t xml:space="preserve"> we will seek to reduce the risk to individuals by presenting findings as generalised group findings.</w:t>
      </w:r>
    </w:p>
    <w:p w14:paraId="4A4B5EC2" w14:textId="41A5279B" w:rsidR="003A59A8" w:rsidRPr="00E056AE" w:rsidRDefault="003A59A8" w:rsidP="000077BB">
      <w:pPr>
        <w:rPr>
          <w:rFonts w:cstheme="minorHAnsi"/>
        </w:rPr>
      </w:pPr>
      <w:r w:rsidRPr="00E056AE">
        <w:rPr>
          <w:rFonts w:cstheme="minorHAnsi"/>
        </w:rPr>
        <w:t>With regards to storage and transfer, any hand-written notes will be kept in a secure office, within a locked filing unit. Any electronic Word documents will be individually password protected, and only stored on password protected device</w:t>
      </w:r>
      <w:r w:rsidR="008B72BF" w:rsidRPr="00E056AE">
        <w:rPr>
          <w:rFonts w:cstheme="minorHAnsi"/>
        </w:rPr>
        <w:t xml:space="preserve">s (laptop, hard-drive). Audio recording will be via </w:t>
      </w:r>
      <w:r w:rsidR="00566220" w:rsidRPr="00E056AE">
        <w:rPr>
          <w:rFonts w:cstheme="minorHAnsi"/>
        </w:rPr>
        <w:t>digital Dictaphones and</w:t>
      </w:r>
      <w:r w:rsidR="005279F6" w:rsidRPr="00E056AE">
        <w:rPr>
          <w:rFonts w:cstheme="minorHAnsi"/>
        </w:rPr>
        <w:t xml:space="preserve"> </w:t>
      </w:r>
      <w:r w:rsidR="008B72BF" w:rsidRPr="00E056AE">
        <w:rPr>
          <w:rFonts w:cstheme="minorHAnsi"/>
        </w:rPr>
        <w:t xml:space="preserve">transferred to a password locked device after the interview/focus group, at which point the original recording will be deleted. Transfer of </w:t>
      </w:r>
      <w:r w:rsidR="00566220" w:rsidRPr="00E056AE">
        <w:rPr>
          <w:rFonts w:cstheme="minorHAnsi"/>
        </w:rPr>
        <w:t>digital files</w:t>
      </w:r>
      <w:r w:rsidR="007347BA" w:rsidRPr="00E056AE">
        <w:rPr>
          <w:rFonts w:cstheme="minorHAnsi"/>
        </w:rPr>
        <w:t xml:space="preserve"> (Word or audio)</w:t>
      </w:r>
      <w:r w:rsidR="008B72BF" w:rsidRPr="00E056AE">
        <w:rPr>
          <w:rFonts w:cstheme="minorHAnsi"/>
        </w:rPr>
        <w:t xml:space="preserve"> </w:t>
      </w:r>
      <w:r w:rsidR="00B72F1D" w:rsidRPr="00E056AE">
        <w:rPr>
          <w:rFonts w:cstheme="minorHAnsi"/>
        </w:rPr>
        <w:t xml:space="preserve">between research team members </w:t>
      </w:r>
      <w:r w:rsidR="008B72BF" w:rsidRPr="00E056AE">
        <w:rPr>
          <w:rFonts w:cstheme="minorHAnsi"/>
        </w:rPr>
        <w:t xml:space="preserve">will only occur via password protected devices (USB stick/external hard-drive). </w:t>
      </w:r>
      <w:r w:rsidR="00B72F1D" w:rsidRPr="00E056AE">
        <w:rPr>
          <w:rFonts w:cstheme="minorHAnsi"/>
        </w:rPr>
        <w:t>Where audio recordings require translation</w:t>
      </w:r>
      <w:r w:rsidR="00EA7E65" w:rsidRPr="00E056AE">
        <w:rPr>
          <w:rFonts w:cstheme="minorHAnsi"/>
        </w:rPr>
        <w:t xml:space="preserve"> or transcription</w:t>
      </w:r>
      <w:r w:rsidR="00B72F1D" w:rsidRPr="00E056AE">
        <w:rPr>
          <w:rFonts w:cstheme="minorHAnsi"/>
        </w:rPr>
        <w:t>, these audio files will be sent as password protected files via email – the password will be sent in a separate email to the transcription services.</w:t>
      </w:r>
      <w:r w:rsidR="00B840AF" w:rsidRPr="00E056AE">
        <w:rPr>
          <w:rFonts w:cstheme="minorHAnsi"/>
        </w:rPr>
        <w:t xml:space="preserve"> </w:t>
      </w:r>
      <w:r w:rsidR="00EA7E65" w:rsidRPr="00E056AE">
        <w:rPr>
          <w:rFonts w:cstheme="minorHAnsi"/>
        </w:rPr>
        <w:t>T</w:t>
      </w:r>
      <w:r w:rsidR="00B840AF" w:rsidRPr="00E056AE">
        <w:rPr>
          <w:rFonts w:cstheme="minorHAnsi"/>
        </w:rPr>
        <w:t xml:space="preserve">hese </w:t>
      </w:r>
      <w:r w:rsidR="00EA7E65" w:rsidRPr="00E056AE">
        <w:rPr>
          <w:rFonts w:cstheme="minorHAnsi"/>
        </w:rPr>
        <w:t xml:space="preserve">audio </w:t>
      </w:r>
      <w:r w:rsidR="00B840AF" w:rsidRPr="00E056AE">
        <w:rPr>
          <w:rFonts w:cstheme="minorHAnsi"/>
        </w:rPr>
        <w:t>files will be redacted to exclude any potentially identifiable information disclosed by the participants at the beginning of the interview (i.e. their migration status, country of birth, professional role).</w:t>
      </w:r>
    </w:p>
    <w:p w14:paraId="17F7CA29" w14:textId="77ED4BA8" w:rsidR="007347BA" w:rsidRPr="00E056AE" w:rsidRDefault="007347BA" w:rsidP="000077BB">
      <w:pPr>
        <w:rPr>
          <w:rFonts w:cstheme="minorHAnsi"/>
        </w:rPr>
      </w:pPr>
      <w:r w:rsidRPr="00E056AE">
        <w:rPr>
          <w:rFonts w:cstheme="minorHAnsi"/>
        </w:rPr>
        <w:t xml:space="preserve">Access to the ‘raw’ data, including unanalysed transcripts, translated transcripts, transcribed transcripts, or any other file containing </w:t>
      </w:r>
      <w:r w:rsidR="001A1975" w:rsidRPr="00E056AE">
        <w:rPr>
          <w:rFonts w:cstheme="minorHAnsi"/>
        </w:rPr>
        <w:t>identifiable</w:t>
      </w:r>
      <w:r w:rsidRPr="00E056AE">
        <w:rPr>
          <w:rFonts w:cstheme="minorHAnsi"/>
        </w:rPr>
        <w:t xml:space="preserve"> and/or potentially sensitive information will not be authorised beyond the research team, except in instances where a participant has requested access to their personal data, or where access is necessary to translate the data (in particular, audio recordings).</w:t>
      </w:r>
      <w:r w:rsidR="00721C65" w:rsidRPr="00E056AE">
        <w:rPr>
          <w:rFonts w:cstheme="minorHAnsi"/>
        </w:rPr>
        <w:t xml:space="preserve"> In all cases, no personal identifiable information will be included in any transcribed or written data, with the exception of consent forms.</w:t>
      </w:r>
    </w:p>
    <w:p w14:paraId="41020D61" w14:textId="77777777" w:rsidR="007347BA" w:rsidRPr="00E056AE" w:rsidRDefault="007347BA" w:rsidP="000077BB">
      <w:pPr>
        <w:rPr>
          <w:rFonts w:cstheme="minorHAnsi"/>
        </w:rPr>
      </w:pPr>
    </w:p>
    <w:p w14:paraId="531E725E" w14:textId="26A75639" w:rsidR="0071257C" w:rsidRPr="00E056AE" w:rsidRDefault="00B51FD0" w:rsidP="00C762B0">
      <w:pPr>
        <w:rPr>
          <w:rFonts w:cstheme="minorHAnsi"/>
        </w:rPr>
      </w:pPr>
      <w:r w:rsidRPr="00E056AE">
        <w:rPr>
          <w:rFonts w:cstheme="minorHAnsi"/>
        </w:rPr>
        <w:t xml:space="preserve"> </w:t>
      </w:r>
    </w:p>
    <w:p w14:paraId="1F8B985C" w14:textId="412B8A6E" w:rsidR="00475FDA" w:rsidRPr="00E056AE" w:rsidRDefault="00552E09" w:rsidP="003802A1">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6</w:t>
      </w:r>
      <w:r w:rsidR="00475FDA" w:rsidRPr="00E056AE">
        <w:rPr>
          <w:rFonts w:asciiTheme="minorHAnsi" w:hAnsiTheme="minorHAnsi" w:cstheme="minorHAnsi"/>
          <w:color w:val="auto"/>
          <w:sz w:val="22"/>
          <w:szCs w:val="22"/>
        </w:rPr>
        <w:tab/>
        <w:t>STUDY SETTING</w:t>
      </w:r>
    </w:p>
    <w:p w14:paraId="2B2157BC" w14:textId="52F59EE2" w:rsidR="00C762B0" w:rsidRPr="00E056AE" w:rsidRDefault="00C762B0" w:rsidP="00C762B0">
      <w:pPr>
        <w:rPr>
          <w:rFonts w:cstheme="minorHAnsi"/>
        </w:rPr>
      </w:pPr>
      <w:r w:rsidRPr="00E056AE">
        <w:rPr>
          <w:rFonts w:cstheme="minorHAnsi"/>
        </w:rPr>
        <w:t xml:space="preserve">Participants will be </w:t>
      </w:r>
      <w:r w:rsidR="00086677" w:rsidRPr="00E056AE">
        <w:rPr>
          <w:rFonts w:cstheme="minorHAnsi"/>
        </w:rPr>
        <w:t>identified and recruited from St. George’s Hospital</w:t>
      </w:r>
      <w:r w:rsidR="009D00D5" w:rsidRPr="00E056AE">
        <w:rPr>
          <w:rFonts w:cstheme="minorHAnsi"/>
        </w:rPr>
        <w:t>,</w:t>
      </w:r>
      <w:r w:rsidR="00282502" w:rsidRPr="00E056AE">
        <w:rPr>
          <w:rFonts w:cstheme="minorHAnsi"/>
        </w:rPr>
        <w:t xml:space="preserve"> Croydon University Hospital</w:t>
      </w:r>
      <w:r w:rsidR="009D00D5" w:rsidRPr="00E056AE">
        <w:rPr>
          <w:rFonts w:cstheme="minorHAnsi"/>
        </w:rPr>
        <w:t xml:space="preserve"> and the Imperial College NHS Healthcare Trust (Charing Cross Hospital, Hammersmith Hospital, St Mary’s Hospital)</w:t>
      </w:r>
      <w:r w:rsidR="00086677" w:rsidRPr="00E056AE">
        <w:rPr>
          <w:rFonts w:cstheme="minorHAnsi"/>
        </w:rPr>
        <w:t xml:space="preserve"> with interviews and focus groups taking place on the ground of St. George’s Hospital,</w:t>
      </w:r>
      <w:r w:rsidR="005279F6" w:rsidRPr="00E056AE">
        <w:rPr>
          <w:rFonts w:cstheme="minorHAnsi"/>
        </w:rPr>
        <w:t xml:space="preserve"> Croydon University Hospital</w:t>
      </w:r>
      <w:r w:rsidR="009D00D5" w:rsidRPr="00E056AE">
        <w:rPr>
          <w:rFonts w:cstheme="minorHAnsi"/>
        </w:rPr>
        <w:t>,</w:t>
      </w:r>
      <w:r w:rsidR="00086677" w:rsidRPr="00E056AE">
        <w:rPr>
          <w:rFonts w:cstheme="minorHAnsi"/>
        </w:rPr>
        <w:t xml:space="preserve"> St. George’s University which adjoins</w:t>
      </w:r>
      <w:r w:rsidR="007347BA" w:rsidRPr="00E056AE">
        <w:rPr>
          <w:rFonts w:cstheme="minorHAnsi"/>
        </w:rPr>
        <w:t xml:space="preserve"> St. George’s Hospital</w:t>
      </w:r>
      <w:r w:rsidR="00192BA1" w:rsidRPr="00E056AE">
        <w:rPr>
          <w:rFonts w:cstheme="minorHAnsi"/>
        </w:rPr>
        <w:t>,</w:t>
      </w:r>
      <w:r w:rsidR="009D00D5" w:rsidRPr="00E056AE">
        <w:rPr>
          <w:rFonts w:cstheme="minorHAnsi"/>
        </w:rPr>
        <w:t xml:space="preserve"> or named hospitals associated with the Imperial College NHS Healthcare Trust. All interviews and/or focus groups will </w:t>
      </w:r>
      <w:r w:rsidR="00721C65" w:rsidRPr="00E056AE">
        <w:rPr>
          <w:rFonts w:cstheme="minorHAnsi"/>
        </w:rPr>
        <w:t xml:space="preserve">be confidential and </w:t>
      </w:r>
      <w:r w:rsidR="009D00D5" w:rsidRPr="00E056AE">
        <w:rPr>
          <w:rFonts w:cstheme="minorHAnsi"/>
        </w:rPr>
        <w:t>take place</w:t>
      </w:r>
      <w:r w:rsidR="00192BA1" w:rsidRPr="00E056AE">
        <w:rPr>
          <w:rFonts w:cstheme="minorHAnsi"/>
        </w:rPr>
        <w:t xml:space="preserve"> within a private room</w:t>
      </w:r>
      <w:r w:rsidR="007347BA" w:rsidRPr="00E056AE">
        <w:rPr>
          <w:rFonts w:cstheme="minorHAnsi"/>
        </w:rPr>
        <w:t>.</w:t>
      </w:r>
    </w:p>
    <w:p w14:paraId="425092CA" w14:textId="33F63A95" w:rsidR="005279F6" w:rsidRPr="00E056AE" w:rsidRDefault="00721C65" w:rsidP="00C762B0">
      <w:pPr>
        <w:rPr>
          <w:rFonts w:cstheme="minorHAnsi"/>
        </w:rPr>
      </w:pPr>
      <w:r w:rsidRPr="00E056AE">
        <w:rPr>
          <w:rFonts w:cstheme="minorHAnsi"/>
        </w:rPr>
        <w:t>Patient i</w:t>
      </w:r>
      <w:r w:rsidR="005279F6" w:rsidRPr="00E056AE">
        <w:rPr>
          <w:rFonts w:cstheme="minorHAnsi"/>
        </w:rPr>
        <w:t>nterviews will be conducted within a private room within either</w:t>
      </w:r>
      <w:r w:rsidR="009D00D5" w:rsidRPr="00E056AE">
        <w:rPr>
          <w:rFonts w:cstheme="minorHAnsi"/>
        </w:rPr>
        <w:t xml:space="preserve"> St George’s Hospital, Croydon University Hospital, Charing Cross Hospital, Hammersmith Hospital, or St Mary’s Hospital</w:t>
      </w:r>
      <w:r w:rsidR="005279F6" w:rsidRPr="00E056AE">
        <w:rPr>
          <w:rFonts w:cstheme="minorHAnsi"/>
        </w:rPr>
        <w:t xml:space="preserve"> or St. George’s University.</w:t>
      </w:r>
      <w:r w:rsidR="007347BA" w:rsidRPr="00E056AE">
        <w:rPr>
          <w:rFonts w:cstheme="minorHAnsi"/>
        </w:rPr>
        <w:t xml:space="preserve"> Similarly, focus groups will be conducted within a suitable private room, capable of holding the expected number of participants</w:t>
      </w:r>
      <w:r w:rsidR="001A1975" w:rsidRPr="00E056AE">
        <w:rPr>
          <w:rFonts w:cstheme="minorHAnsi"/>
        </w:rPr>
        <w:t xml:space="preserve"> at one of the sites</w:t>
      </w:r>
      <w:r w:rsidR="007347BA" w:rsidRPr="00E056AE">
        <w:rPr>
          <w:rFonts w:cstheme="minorHAnsi"/>
        </w:rPr>
        <w:t>.</w:t>
      </w:r>
    </w:p>
    <w:p w14:paraId="355336D7" w14:textId="13ACEA48" w:rsidR="00086677" w:rsidRPr="00E056AE" w:rsidRDefault="00612F23" w:rsidP="00C762B0">
      <w:pPr>
        <w:rPr>
          <w:rFonts w:cstheme="minorHAnsi"/>
        </w:rPr>
      </w:pPr>
      <w:r w:rsidRPr="00E056AE">
        <w:rPr>
          <w:rFonts w:cstheme="minorHAnsi"/>
        </w:rPr>
        <w:t xml:space="preserve">Using </w:t>
      </w:r>
      <w:r w:rsidR="009D00D5" w:rsidRPr="00E056AE">
        <w:rPr>
          <w:rFonts w:cstheme="minorHAnsi"/>
        </w:rPr>
        <w:t xml:space="preserve">These sites </w:t>
      </w:r>
      <w:r w:rsidRPr="00E056AE">
        <w:rPr>
          <w:rFonts w:cstheme="minorHAnsi"/>
        </w:rPr>
        <w:t>is an appropriate</w:t>
      </w:r>
      <w:r w:rsidR="00086677" w:rsidRPr="00E056AE">
        <w:rPr>
          <w:rFonts w:cstheme="minorHAnsi"/>
        </w:rPr>
        <w:t xml:space="preserve"> setting as it gives direct access to our populations of interest (TB patients and </w:t>
      </w:r>
      <w:r w:rsidRPr="00E056AE">
        <w:rPr>
          <w:rFonts w:cstheme="minorHAnsi"/>
        </w:rPr>
        <w:t>health-service providers</w:t>
      </w:r>
      <w:r w:rsidR="00086677" w:rsidRPr="00E056AE">
        <w:rPr>
          <w:rFonts w:cstheme="minorHAnsi"/>
        </w:rPr>
        <w:t>). St. George’s hospital</w:t>
      </w:r>
      <w:r w:rsidRPr="00E056AE">
        <w:rPr>
          <w:rFonts w:cstheme="minorHAnsi"/>
        </w:rPr>
        <w:t xml:space="preserve"> and Croydon University Hospital</w:t>
      </w:r>
      <w:r w:rsidR="00086677" w:rsidRPr="00E056AE">
        <w:rPr>
          <w:rFonts w:cstheme="minorHAnsi"/>
        </w:rPr>
        <w:t xml:space="preserve"> </w:t>
      </w:r>
      <w:r w:rsidR="00CE1837" w:rsidRPr="00E056AE">
        <w:rPr>
          <w:rFonts w:cstheme="minorHAnsi"/>
        </w:rPr>
        <w:t xml:space="preserve">run dedicated TB clinics and treat the largest number of TB patients in the South-West London region, making </w:t>
      </w:r>
      <w:r w:rsidRPr="00E056AE">
        <w:rPr>
          <w:rFonts w:cstheme="minorHAnsi"/>
        </w:rPr>
        <w:t>them</w:t>
      </w:r>
      <w:r w:rsidR="00CE1837" w:rsidRPr="00E056AE">
        <w:rPr>
          <w:rFonts w:cstheme="minorHAnsi"/>
        </w:rPr>
        <w:t xml:space="preserve"> suitable </w:t>
      </w:r>
      <w:r w:rsidRPr="00E056AE">
        <w:rPr>
          <w:rFonts w:cstheme="minorHAnsi"/>
        </w:rPr>
        <w:t>locations</w:t>
      </w:r>
      <w:r w:rsidR="00CE1837" w:rsidRPr="00E056AE">
        <w:rPr>
          <w:rFonts w:cstheme="minorHAnsi"/>
        </w:rPr>
        <w:t xml:space="preserve"> for recruitment, and one with which patients and service/providers will be familiar with when it comes to interviews and focus groups.</w:t>
      </w:r>
      <w:r w:rsidRPr="00E056AE">
        <w:rPr>
          <w:rFonts w:cstheme="minorHAnsi"/>
        </w:rPr>
        <w:t xml:space="preserve"> </w:t>
      </w:r>
      <w:r w:rsidR="009D00D5" w:rsidRPr="00E056AE">
        <w:rPr>
          <w:rFonts w:cstheme="minorHAnsi"/>
        </w:rPr>
        <w:t>The Imperial College NHS Healthcare Trust also ha</w:t>
      </w:r>
      <w:r w:rsidR="00721C65" w:rsidRPr="00E056AE">
        <w:rPr>
          <w:rFonts w:cstheme="minorHAnsi"/>
        </w:rPr>
        <w:t>s</w:t>
      </w:r>
      <w:r w:rsidR="009D00D5" w:rsidRPr="00E056AE">
        <w:rPr>
          <w:rFonts w:cstheme="minorHAnsi"/>
        </w:rPr>
        <w:t xml:space="preserve"> a substantial TB team working across the three named sites: Charing Cross Hospital, </w:t>
      </w:r>
      <w:r w:rsidR="009D00D5" w:rsidRPr="00E056AE">
        <w:rPr>
          <w:rFonts w:cstheme="minorHAnsi"/>
        </w:rPr>
        <w:lastRenderedPageBreak/>
        <w:t xml:space="preserve">Hammersmith Hospital, </w:t>
      </w:r>
      <w:r w:rsidR="00721C65" w:rsidRPr="00E056AE">
        <w:rPr>
          <w:rFonts w:cstheme="minorHAnsi"/>
        </w:rPr>
        <w:t xml:space="preserve">and </w:t>
      </w:r>
      <w:r w:rsidR="009D00D5" w:rsidRPr="00E056AE">
        <w:rPr>
          <w:rFonts w:cstheme="minorHAnsi"/>
        </w:rPr>
        <w:t>St Mary’s Hospital</w:t>
      </w:r>
      <w:r w:rsidR="00BE02FD" w:rsidRPr="00E056AE">
        <w:rPr>
          <w:rFonts w:cstheme="minorHAnsi"/>
        </w:rPr>
        <w:t xml:space="preserve">. As the Imperial College NHS Healthcare Trust TB teams often work across the sites named, it is appropriate to name all three. </w:t>
      </w:r>
      <w:r w:rsidR="00721C65" w:rsidRPr="00E056AE">
        <w:rPr>
          <w:rFonts w:cstheme="minorHAnsi"/>
        </w:rPr>
        <w:t>I</w:t>
      </w:r>
      <w:r w:rsidR="00BE02FD" w:rsidRPr="00E056AE">
        <w:rPr>
          <w:rFonts w:cstheme="minorHAnsi"/>
        </w:rPr>
        <w:t>ncorporating these sites</w:t>
      </w:r>
      <w:r w:rsidR="00721C65" w:rsidRPr="00E056AE">
        <w:rPr>
          <w:rFonts w:cstheme="minorHAnsi"/>
        </w:rPr>
        <w:t xml:space="preserve"> will greatly support recruitment of patients and service providers</w:t>
      </w:r>
      <w:r w:rsidR="00BE02FD" w:rsidRPr="00E056AE">
        <w:rPr>
          <w:rFonts w:cstheme="minorHAnsi"/>
        </w:rPr>
        <w:t>. Furthermore, by including multiple site from across London</w:t>
      </w:r>
      <w:r w:rsidR="00721C65" w:rsidRPr="00E056AE">
        <w:rPr>
          <w:rFonts w:cstheme="minorHAnsi"/>
        </w:rPr>
        <w:t>,</w:t>
      </w:r>
      <w:r w:rsidR="00BE02FD" w:rsidRPr="00E056AE">
        <w:rPr>
          <w:rFonts w:cstheme="minorHAnsi"/>
        </w:rPr>
        <w:t xml:space="preserve"> we </w:t>
      </w:r>
      <w:r w:rsidR="00721C65" w:rsidRPr="00E056AE">
        <w:rPr>
          <w:rFonts w:cstheme="minorHAnsi"/>
        </w:rPr>
        <w:t>will be able</w:t>
      </w:r>
      <w:r w:rsidR="00BE02FD" w:rsidRPr="00E056AE">
        <w:rPr>
          <w:rFonts w:cstheme="minorHAnsi"/>
        </w:rPr>
        <w:t xml:space="preserve"> to recruit a more diverse population which is representative of London as a whole, and therefore our findings are more likely to be generalisable beyond one specific site or setting.</w:t>
      </w:r>
      <w:r w:rsidR="009D00D5" w:rsidRPr="00E056AE">
        <w:rPr>
          <w:rFonts w:cstheme="minorHAnsi"/>
        </w:rPr>
        <w:t xml:space="preserve"> </w:t>
      </w:r>
      <w:r w:rsidRPr="00E056AE">
        <w:rPr>
          <w:rFonts w:cstheme="minorHAnsi"/>
        </w:rPr>
        <w:t xml:space="preserve">St. George’s University </w:t>
      </w:r>
      <w:r w:rsidR="00BE02FD" w:rsidRPr="00E056AE">
        <w:rPr>
          <w:rFonts w:cstheme="minorHAnsi"/>
        </w:rPr>
        <w:t xml:space="preserve">provides </w:t>
      </w:r>
      <w:r w:rsidR="000D11AF" w:rsidRPr="00E056AE">
        <w:rPr>
          <w:rFonts w:cstheme="minorHAnsi"/>
        </w:rPr>
        <w:t xml:space="preserve">a </w:t>
      </w:r>
      <w:r w:rsidRPr="00E056AE">
        <w:rPr>
          <w:rFonts w:cstheme="minorHAnsi"/>
        </w:rPr>
        <w:t xml:space="preserve">suitable site to conduct focus groups and interviews if and where suitable rooms cannot be provided </w:t>
      </w:r>
      <w:r w:rsidR="00BE02FD" w:rsidRPr="00E056AE">
        <w:rPr>
          <w:rFonts w:cstheme="minorHAnsi"/>
        </w:rPr>
        <w:t xml:space="preserve">at other sites. The proximity of the university to St George’s Hospital makes it an alternative to that site in many scenarios. The university can also act as a focal point for focus groups with healthcare service provider participants. </w:t>
      </w:r>
      <w:r w:rsidR="00CE1837" w:rsidRPr="00E056AE">
        <w:rPr>
          <w:rFonts w:cstheme="minorHAnsi"/>
        </w:rPr>
        <w:t xml:space="preserve"> </w:t>
      </w:r>
    </w:p>
    <w:p w14:paraId="0DA95BF7" w14:textId="77777777" w:rsidR="00AA2AA0" w:rsidRPr="00E056AE"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Pr="00E056AE" w:rsidRDefault="00552E09" w:rsidP="00AA2AA0">
      <w:pPr>
        <w:autoSpaceDE w:val="0"/>
        <w:autoSpaceDN w:val="0"/>
        <w:adjustRightInd w:val="0"/>
        <w:spacing w:line="240" w:lineRule="auto"/>
        <w:rPr>
          <w:rFonts w:cstheme="minorHAnsi"/>
          <w:b/>
        </w:rPr>
      </w:pPr>
      <w:r w:rsidRPr="00E056AE">
        <w:rPr>
          <w:rFonts w:cstheme="minorHAnsi"/>
          <w:b/>
        </w:rPr>
        <w:t>7</w:t>
      </w:r>
      <w:r w:rsidR="00475FDA" w:rsidRPr="00E056AE">
        <w:rPr>
          <w:rFonts w:cstheme="minorHAnsi"/>
          <w:b/>
        </w:rPr>
        <w:tab/>
      </w:r>
      <w:r w:rsidR="0071257C" w:rsidRPr="00E056AE">
        <w:rPr>
          <w:rFonts w:cstheme="minorHAnsi"/>
          <w:b/>
        </w:rPr>
        <w:t>SAMPLE AND RECRUITMENT</w:t>
      </w:r>
    </w:p>
    <w:p w14:paraId="2DD45E81" w14:textId="17088F99" w:rsidR="00475FDA" w:rsidRPr="00E056AE" w:rsidRDefault="0071257C" w:rsidP="00AA2AA0">
      <w:pPr>
        <w:autoSpaceDE w:val="0"/>
        <w:autoSpaceDN w:val="0"/>
        <w:adjustRightInd w:val="0"/>
        <w:spacing w:line="240" w:lineRule="auto"/>
        <w:rPr>
          <w:rFonts w:cstheme="minorHAnsi"/>
          <w:b/>
        </w:rPr>
      </w:pPr>
      <w:r w:rsidRPr="00E056AE">
        <w:rPr>
          <w:rFonts w:cstheme="minorHAnsi"/>
          <w:b/>
        </w:rPr>
        <w:t xml:space="preserve">7.1 </w:t>
      </w:r>
      <w:r w:rsidRPr="00E056AE">
        <w:rPr>
          <w:rFonts w:cstheme="minorHAnsi"/>
          <w:b/>
        </w:rPr>
        <w:tab/>
      </w:r>
      <w:r w:rsidR="00475FDA" w:rsidRPr="00E056AE">
        <w:rPr>
          <w:rFonts w:cstheme="minorHAnsi"/>
          <w:b/>
        </w:rPr>
        <w:t>E</w:t>
      </w:r>
      <w:r w:rsidRPr="00E056AE">
        <w:rPr>
          <w:rFonts w:cstheme="minorHAnsi"/>
          <w:b/>
        </w:rPr>
        <w:t>ligibility Criteria</w:t>
      </w:r>
    </w:p>
    <w:p w14:paraId="7BB47989" w14:textId="13D30A9D" w:rsidR="00CE1837" w:rsidRPr="00E056AE" w:rsidRDefault="00CE1837" w:rsidP="00AA2AA0">
      <w:pPr>
        <w:autoSpaceDE w:val="0"/>
        <w:autoSpaceDN w:val="0"/>
        <w:adjustRightInd w:val="0"/>
        <w:spacing w:line="240" w:lineRule="auto"/>
        <w:rPr>
          <w:rFonts w:cstheme="minorHAnsi"/>
        </w:rPr>
      </w:pPr>
      <w:r w:rsidRPr="00E056AE">
        <w:rPr>
          <w:rFonts w:cstheme="minorHAnsi"/>
        </w:rPr>
        <w:t xml:space="preserve">We </w:t>
      </w:r>
      <w:r w:rsidR="00355ED9" w:rsidRPr="00E056AE">
        <w:rPr>
          <w:rFonts w:cstheme="minorHAnsi"/>
        </w:rPr>
        <w:t>will</w:t>
      </w:r>
      <w:r w:rsidRPr="00E056AE">
        <w:rPr>
          <w:rFonts w:cstheme="minorHAnsi"/>
        </w:rPr>
        <w:t xml:space="preserve"> specifically seek to recruit </w:t>
      </w:r>
      <w:r w:rsidR="00612F23" w:rsidRPr="00E056AE">
        <w:rPr>
          <w:rFonts w:cstheme="minorHAnsi"/>
        </w:rPr>
        <w:t xml:space="preserve">migrant </w:t>
      </w:r>
      <w:r w:rsidRPr="00E056AE">
        <w:rPr>
          <w:rFonts w:cstheme="minorHAnsi"/>
        </w:rPr>
        <w:t xml:space="preserve">patients who have direct experience </w:t>
      </w:r>
      <w:r w:rsidR="00566220" w:rsidRPr="00E056AE">
        <w:rPr>
          <w:rFonts w:cstheme="minorHAnsi"/>
        </w:rPr>
        <w:t>of, or</w:t>
      </w:r>
      <w:r w:rsidRPr="00E056AE">
        <w:rPr>
          <w:rFonts w:cstheme="minorHAnsi"/>
        </w:rPr>
        <w:t xml:space="preserve"> are currently undergoing</w:t>
      </w:r>
      <w:r w:rsidR="00560EA9" w:rsidRPr="00E056AE">
        <w:rPr>
          <w:rFonts w:cstheme="minorHAnsi"/>
        </w:rPr>
        <w:t>,</w:t>
      </w:r>
      <w:r w:rsidRPr="00E056AE">
        <w:rPr>
          <w:rFonts w:cstheme="minorHAnsi"/>
        </w:rPr>
        <w:t xml:space="preserve"> </w:t>
      </w:r>
      <w:r w:rsidR="000B2C52" w:rsidRPr="00E056AE">
        <w:rPr>
          <w:rFonts w:cstheme="minorHAnsi"/>
        </w:rPr>
        <w:t xml:space="preserve">LTBI or TB </w:t>
      </w:r>
      <w:r w:rsidRPr="00E056AE">
        <w:rPr>
          <w:rFonts w:cstheme="minorHAnsi"/>
        </w:rPr>
        <w:t>treatment.</w:t>
      </w:r>
      <w:r w:rsidR="00533D52" w:rsidRPr="00E056AE">
        <w:rPr>
          <w:rFonts w:cstheme="minorHAnsi"/>
        </w:rPr>
        <w:t xml:space="preserve"> We define migrant patient as anyone who is foreign-born</w:t>
      </w:r>
      <w:r w:rsidRPr="00E056AE">
        <w:rPr>
          <w:rFonts w:cstheme="minorHAnsi"/>
        </w:rPr>
        <w:t xml:space="preserve"> These individuals must have, or have had, clinically confirmed</w:t>
      </w:r>
      <w:r w:rsidR="000B2C52" w:rsidRPr="00E056AE">
        <w:rPr>
          <w:rFonts w:cstheme="minorHAnsi"/>
        </w:rPr>
        <w:t xml:space="preserve"> LTBI/</w:t>
      </w:r>
      <w:r w:rsidRPr="00E056AE">
        <w:rPr>
          <w:rFonts w:cstheme="minorHAnsi"/>
        </w:rPr>
        <w:t>TB (as ascertained from healthcare staff)</w:t>
      </w:r>
      <w:r w:rsidR="00166E59" w:rsidRPr="00E056AE">
        <w:rPr>
          <w:rFonts w:cstheme="minorHAnsi"/>
        </w:rPr>
        <w:t xml:space="preserve"> </w:t>
      </w:r>
      <w:r w:rsidRPr="00E056AE">
        <w:rPr>
          <w:rFonts w:cstheme="minorHAnsi"/>
        </w:rPr>
        <w:t>and have</w:t>
      </w:r>
      <w:r w:rsidR="00355ED9" w:rsidRPr="00E056AE">
        <w:rPr>
          <w:rFonts w:cstheme="minorHAnsi"/>
        </w:rPr>
        <w:t xml:space="preserve"> </w:t>
      </w:r>
      <w:r w:rsidR="000D11AF" w:rsidRPr="00E056AE">
        <w:rPr>
          <w:rFonts w:cstheme="minorHAnsi"/>
        </w:rPr>
        <w:t xml:space="preserve">been </w:t>
      </w:r>
      <w:r w:rsidR="00355ED9" w:rsidRPr="00E056AE">
        <w:rPr>
          <w:rFonts w:cstheme="minorHAnsi"/>
        </w:rPr>
        <w:t>or are being</w:t>
      </w:r>
      <w:r w:rsidRPr="00E056AE">
        <w:rPr>
          <w:rFonts w:cstheme="minorHAnsi"/>
        </w:rPr>
        <w:t xml:space="preserve"> treated within the UK. </w:t>
      </w:r>
    </w:p>
    <w:p w14:paraId="3E799482" w14:textId="231440C1" w:rsidR="00CE1837" w:rsidRPr="00E056AE" w:rsidRDefault="00CE1837" w:rsidP="00AA2AA0">
      <w:pPr>
        <w:autoSpaceDE w:val="0"/>
        <w:autoSpaceDN w:val="0"/>
        <w:adjustRightInd w:val="0"/>
        <w:spacing w:line="240" w:lineRule="auto"/>
        <w:rPr>
          <w:rFonts w:cstheme="minorHAnsi"/>
        </w:rPr>
      </w:pPr>
      <w:r w:rsidRPr="00E056AE">
        <w:rPr>
          <w:rFonts w:cstheme="minorHAnsi"/>
        </w:rPr>
        <w:t xml:space="preserve">We are also seeking to engage </w:t>
      </w:r>
      <w:r w:rsidR="00355ED9" w:rsidRPr="00E056AE">
        <w:rPr>
          <w:rFonts w:cstheme="minorHAnsi"/>
        </w:rPr>
        <w:t xml:space="preserve">a range of </w:t>
      </w:r>
      <w:r w:rsidR="00612F23" w:rsidRPr="00E056AE">
        <w:rPr>
          <w:rFonts w:cstheme="minorHAnsi"/>
        </w:rPr>
        <w:t>health-</w:t>
      </w:r>
      <w:r w:rsidRPr="00E056AE">
        <w:rPr>
          <w:rFonts w:cstheme="minorHAnsi"/>
        </w:rPr>
        <w:t xml:space="preserve">service providers </w:t>
      </w:r>
      <w:r w:rsidR="0053022C" w:rsidRPr="00E056AE">
        <w:rPr>
          <w:rFonts w:cstheme="minorHAnsi"/>
        </w:rPr>
        <w:t xml:space="preserve">and </w:t>
      </w:r>
      <w:r w:rsidRPr="00E056AE">
        <w:rPr>
          <w:rFonts w:cstheme="minorHAnsi"/>
        </w:rPr>
        <w:t xml:space="preserve">staff who </w:t>
      </w:r>
      <w:r w:rsidR="0053022C" w:rsidRPr="00E056AE">
        <w:rPr>
          <w:rFonts w:cstheme="minorHAnsi"/>
        </w:rPr>
        <w:t xml:space="preserve">have experience of </w:t>
      </w:r>
      <w:r w:rsidRPr="00E056AE">
        <w:rPr>
          <w:rFonts w:cstheme="minorHAnsi"/>
        </w:rPr>
        <w:t xml:space="preserve">monitoring, managing and supporting </w:t>
      </w:r>
      <w:r w:rsidR="00282502" w:rsidRPr="00E056AE">
        <w:rPr>
          <w:rFonts w:cstheme="minorHAnsi"/>
        </w:rPr>
        <w:t xml:space="preserve">LTBI/TB </w:t>
      </w:r>
      <w:r w:rsidRPr="00E056AE">
        <w:rPr>
          <w:rFonts w:cstheme="minorHAnsi"/>
        </w:rPr>
        <w:t xml:space="preserve">treatment. </w:t>
      </w:r>
      <w:r w:rsidR="00612F23" w:rsidRPr="00E056AE">
        <w:rPr>
          <w:rFonts w:cstheme="minorHAnsi"/>
        </w:rPr>
        <w:t xml:space="preserve">We define health-service providers as any </w:t>
      </w:r>
      <w:r w:rsidR="00C63153" w:rsidRPr="00E056AE">
        <w:rPr>
          <w:rFonts w:cstheme="minorHAnsi"/>
        </w:rPr>
        <w:t>individual</w:t>
      </w:r>
      <w:r w:rsidR="00612F23" w:rsidRPr="00E056AE">
        <w:rPr>
          <w:rFonts w:cstheme="minorHAnsi"/>
        </w:rPr>
        <w:t xml:space="preserve"> </w:t>
      </w:r>
      <w:r w:rsidR="00C63153" w:rsidRPr="00E056AE">
        <w:rPr>
          <w:rFonts w:cstheme="minorHAnsi"/>
        </w:rPr>
        <w:t>working</w:t>
      </w:r>
      <w:r w:rsidR="006D1EF2" w:rsidRPr="00E056AE">
        <w:rPr>
          <w:rFonts w:cstheme="minorHAnsi"/>
        </w:rPr>
        <w:t xml:space="preserve"> for, or with</w:t>
      </w:r>
      <w:r w:rsidR="00C63153" w:rsidRPr="00E056AE">
        <w:rPr>
          <w:rFonts w:cstheme="minorHAnsi"/>
        </w:rPr>
        <w:t xml:space="preserve"> the NHS in some aspect of TB care, </w:t>
      </w:r>
      <w:r w:rsidR="00F61915" w:rsidRPr="00E056AE">
        <w:rPr>
          <w:rFonts w:cstheme="minorHAnsi"/>
        </w:rPr>
        <w:t xml:space="preserve">be that delivery of treatment in the clinic, or wider support of individuals with TB through third-sector organisations. </w:t>
      </w:r>
      <w:r w:rsidR="00C63153" w:rsidRPr="00E056AE">
        <w:rPr>
          <w:rFonts w:cstheme="minorHAnsi"/>
        </w:rPr>
        <w:t xml:space="preserve">This can include: clinicians (Drs, Nurses, Consultants); support workers; outreach workers; </w:t>
      </w:r>
      <w:r w:rsidR="00560EA9" w:rsidRPr="00E056AE">
        <w:rPr>
          <w:rFonts w:cstheme="minorHAnsi"/>
        </w:rPr>
        <w:t xml:space="preserve">and </w:t>
      </w:r>
      <w:r w:rsidR="00C63153" w:rsidRPr="00E056AE">
        <w:rPr>
          <w:rFonts w:cstheme="minorHAnsi"/>
        </w:rPr>
        <w:t>third-sector organisation workers.</w:t>
      </w:r>
    </w:p>
    <w:p w14:paraId="6B22CE97" w14:textId="77777777" w:rsidR="0093643E" w:rsidRPr="00E056AE" w:rsidRDefault="0093643E" w:rsidP="00AA2AA0">
      <w:pPr>
        <w:autoSpaceDE w:val="0"/>
        <w:autoSpaceDN w:val="0"/>
        <w:adjustRightInd w:val="0"/>
        <w:spacing w:line="240" w:lineRule="auto"/>
        <w:rPr>
          <w:rFonts w:cstheme="minorHAnsi"/>
          <w:b/>
          <w:color w:val="FF0000"/>
          <w:lang w:eastAsia="en-GB"/>
        </w:rPr>
      </w:pPr>
    </w:p>
    <w:p w14:paraId="7D593891" w14:textId="77777777" w:rsidR="00475FDA" w:rsidRPr="00E056AE" w:rsidRDefault="00475FDA" w:rsidP="003802A1">
      <w:pPr>
        <w:spacing w:line="240" w:lineRule="auto"/>
        <w:ind w:firstLine="720"/>
        <w:rPr>
          <w:rFonts w:cstheme="minorHAnsi"/>
          <w:color w:val="0000FF"/>
          <w:szCs w:val="22"/>
        </w:rPr>
      </w:pPr>
    </w:p>
    <w:p w14:paraId="2D54AFF0" w14:textId="3FD75F3A" w:rsidR="00475FDA" w:rsidRPr="00E056AE" w:rsidRDefault="00552E09" w:rsidP="003802A1">
      <w:pPr>
        <w:spacing w:line="240" w:lineRule="auto"/>
        <w:rPr>
          <w:rFonts w:cstheme="minorHAnsi"/>
          <w:b/>
          <w:bCs/>
          <w:szCs w:val="22"/>
        </w:rPr>
      </w:pPr>
      <w:r w:rsidRPr="00E056AE">
        <w:rPr>
          <w:rFonts w:cstheme="minorHAnsi"/>
          <w:b/>
          <w:bCs/>
          <w:szCs w:val="22"/>
        </w:rPr>
        <w:t>7</w:t>
      </w:r>
      <w:r w:rsidR="00093582" w:rsidRPr="00E056AE">
        <w:rPr>
          <w:rFonts w:cstheme="minorHAnsi"/>
          <w:b/>
          <w:bCs/>
          <w:szCs w:val="22"/>
        </w:rPr>
        <w:t>.1</w:t>
      </w:r>
      <w:r w:rsidR="0071257C" w:rsidRPr="00E056AE">
        <w:rPr>
          <w:rFonts w:cstheme="minorHAnsi"/>
          <w:b/>
          <w:bCs/>
          <w:szCs w:val="22"/>
        </w:rPr>
        <w:t>.1</w:t>
      </w:r>
      <w:r w:rsidR="00093582" w:rsidRPr="00E056AE">
        <w:rPr>
          <w:rFonts w:cstheme="minorHAnsi"/>
          <w:b/>
          <w:bCs/>
          <w:szCs w:val="22"/>
        </w:rPr>
        <w:tab/>
      </w:r>
      <w:r w:rsidR="00987A19" w:rsidRPr="00E056AE">
        <w:rPr>
          <w:rFonts w:cstheme="minorHAnsi"/>
          <w:b/>
          <w:bCs/>
          <w:szCs w:val="22"/>
        </w:rPr>
        <w:t>Inclusion c</w:t>
      </w:r>
      <w:r w:rsidR="00475FDA" w:rsidRPr="00E056AE">
        <w:rPr>
          <w:rFonts w:cstheme="minorHAnsi"/>
          <w:b/>
          <w:bCs/>
          <w:szCs w:val="22"/>
        </w:rPr>
        <w:t>riteria</w:t>
      </w:r>
      <w:r w:rsidR="001E070F" w:rsidRPr="00E056AE">
        <w:rPr>
          <w:rFonts w:cstheme="minorHAnsi"/>
          <w:b/>
          <w:bCs/>
          <w:szCs w:val="22"/>
        </w:rPr>
        <w:t xml:space="preserve"> </w:t>
      </w:r>
    </w:p>
    <w:p w14:paraId="446D0D63" w14:textId="74CAE20A" w:rsidR="00C762B0" w:rsidRPr="00E056AE" w:rsidRDefault="00CE1837" w:rsidP="003802A1">
      <w:pPr>
        <w:spacing w:line="240" w:lineRule="auto"/>
        <w:rPr>
          <w:rFonts w:cstheme="minorHAnsi"/>
          <w:bCs/>
          <w:szCs w:val="22"/>
        </w:rPr>
      </w:pPr>
      <w:r w:rsidRPr="00E056AE">
        <w:rPr>
          <w:rFonts w:cstheme="minorHAnsi"/>
          <w:bCs/>
          <w:szCs w:val="22"/>
        </w:rPr>
        <w:t>Patient participants:</w:t>
      </w:r>
    </w:p>
    <w:p w14:paraId="264E86CE" w14:textId="6901A6ED" w:rsidR="00612F23" w:rsidRPr="00E056AE" w:rsidRDefault="00612F23" w:rsidP="00566220">
      <w:pPr>
        <w:pStyle w:val="ListParagraph"/>
        <w:numPr>
          <w:ilvl w:val="0"/>
          <w:numId w:val="33"/>
        </w:numPr>
        <w:spacing w:line="240" w:lineRule="auto"/>
        <w:rPr>
          <w:rFonts w:cstheme="minorHAnsi"/>
          <w:bCs/>
        </w:rPr>
      </w:pPr>
      <w:r w:rsidRPr="00E056AE">
        <w:rPr>
          <w:rFonts w:cstheme="minorHAnsi"/>
          <w:bCs/>
        </w:rPr>
        <w:t xml:space="preserve">Aged over </w:t>
      </w:r>
      <w:r w:rsidR="00806F99" w:rsidRPr="00E056AE">
        <w:rPr>
          <w:rFonts w:cstheme="minorHAnsi"/>
          <w:bCs/>
        </w:rPr>
        <w:t>18</w:t>
      </w:r>
      <w:r w:rsidRPr="00E056AE">
        <w:rPr>
          <w:rFonts w:cstheme="minorHAnsi"/>
          <w:bCs/>
        </w:rPr>
        <w:t xml:space="preserve"> at the time of recruitment.</w:t>
      </w:r>
    </w:p>
    <w:p w14:paraId="20D07FC9" w14:textId="60DEE084" w:rsidR="00CE1837" w:rsidRPr="00E056AE" w:rsidRDefault="00CE1837" w:rsidP="001406ED">
      <w:pPr>
        <w:pStyle w:val="ListParagraph"/>
        <w:numPr>
          <w:ilvl w:val="0"/>
          <w:numId w:val="22"/>
        </w:numPr>
        <w:spacing w:line="240" w:lineRule="auto"/>
        <w:rPr>
          <w:rFonts w:cstheme="minorHAnsi"/>
          <w:bCs/>
        </w:rPr>
      </w:pPr>
      <w:r w:rsidRPr="00E056AE">
        <w:rPr>
          <w:rFonts w:cstheme="minorHAnsi"/>
          <w:bCs/>
        </w:rPr>
        <w:t>Clinically confirmed</w:t>
      </w:r>
      <w:r w:rsidR="000B2C52" w:rsidRPr="00E056AE">
        <w:rPr>
          <w:rFonts w:cstheme="minorHAnsi"/>
          <w:bCs/>
        </w:rPr>
        <w:t xml:space="preserve"> LTBI or</w:t>
      </w:r>
      <w:r w:rsidRPr="00E056AE">
        <w:rPr>
          <w:rFonts w:cstheme="minorHAnsi"/>
          <w:bCs/>
        </w:rPr>
        <w:t xml:space="preserve"> </w:t>
      </w:r>
      <w:r w:rsidR="000B2C52" w:rsidRPr="00E056AE">
        <w:rPr>
          <w:rFonts w:cstheme="minorHAnsi"/>
          <w:bCs/>
        </w:rPr>
        <w:t>TB</w:t>
      </w:r>
      <w:r w:rsidR="00355ED9" w:rsidRPr="00E056AE">
        <w:rPr>
          <w:rFonts w:cstheme="minorHAnsi"/>
          <w:bCs/>
        </w:rPr>
        <w:t xml:space="preserve"> in a migrant patient (defined as an individual who was born outside the UK)</w:t>
      </w:r>
    </w:p>
    <w:p w14:paraId="38A0C9E7" w14:textId="5E4EA545" w:rsidR="00CE1837" w:rsidRPr="00E056AE" w:rsidRDefault="00CE1837" w:rsidP="001406ED">
      <w:pPr>
        <w:pStyle w:val="ListParagraph"/>
        <w:numPr>
          <w:ilvl w:val="0"/>
          <w:numId w:val="22"/>
        </w:numPr>
        <w:spacing w:line="240" w:lineRule="auto"/>
        <w:rPr>
          <w:rFonts w:cstheme="minorHAnsi"/>
          <w:bCs/>
        </w:rPr>
      </w:pPr>
      <w:r w:rsidRPr="00E056AE">
        <w:rPr>
          <w:rFonts w:cstheme="minorHAnsi"/>
          <w:bCs/>
        </w:rPr>
        <w:t xml:space="preserve">In receipt of, or having received </w:t>
      </w:r>
      <w:r w:rsidR="000B2C52" w:rsidRPr="00E056AE">
        <w:rPr>
          <w:rFonts w:cstheme="minorHAnsi"/>
          <w:bCs/>
        </w:rPr>
        <w:t xml:space="preserve">LTBI or </w:t>
      </w:r>
      <w:r w:rsidRPr="00E056AE">
        <w:rPr>
          <w:rFonts w:cstheme="minorHAnsi"/>
          <w:bCs/>
        </w:rPr>
        <w:t>TB treatment in the UK</w:t>
      </w:r>
    </w:p>
    <w:p w14:paraId="0B2D9FFE" w14:textId="77777777" w:rsidR="00355ED9" w:rsidRPr="00E056AE" w:rsidRDefault="00355ED9" w:rsidP="00566220">
      <w:pPr>
        <w:spacing w:line="240" w:lineRule="auto"/>
        <w:ind w:left="360"/>
        <w:rPr>
          <w:rFonts w:cstheme="minorHAnsi"/>
          <w:bCs/>
        </w:rPr>
      </w:pPr>
    </w:p>
    <w:p w14:paraId="7DCB7E51" w14:textId="04B0DC03" w:rsidR="0093643E" w:rsidRPr="00E056AE" w:rsidRDefault="00CE1837" w:rsidP="00CE1837">
      <w:pPr>
        <w:tabs>
          <w:tab w:val="num" w:pos="2880"/>
        </w:tabs>
        <w:spacing w:line="240" w:lineRule="auto"/>
        <w:rPr>
          <w:rFonts w:cstheme="minorHAnsi"/>
          <w:bCs/>
          <w:szCs w:val="22"/>
        </w:rPr>
      </w:pPr>
      <w:r w:rsidRPr="00E056AE">
        <w:rPr>
          <w:rFonts w:cstheme="minorHAnsi"/>
          <w:bCs/>
          <w:szCs w:val="22"/>
        </w:rPr>
        <w:t>Service providers/staff:</w:t>
      </w:r>
    </w:p>
    <w:p w14:paraId="2C22343D" w14:textId="5DE51A64" w:rsidR="00A02FC2" w:rsidRPr="00E056AE" w:rsidRDefault="00CE1837" w:rsidP="001406ED">
      <w:pPr>
        <w:pStyle w:val="ListParagraph"/>
        <w:numPr>
          <w:ilvl w:val="0"/>
          <w:numId w:val="23"/>
        </w:numPr>
        <w:tabs>
          <w:tab w:val="num" w:pos="2880"/>
        </w:tabs>
        <w:spacing w:line="240" w:lineRule="auto"/>
        <w:rPr>
          <w:rFonts w:cstheme="minorHAnsi"/>
          <w:bCs/>
        </w:rPr>
      </w:pPr>
      <w:r w:rsidRPr="00E056AE">
        <w:rPr>
          <w:rFonts w:cstheme="minorHAnsi"/>
          <w:bCs/>
        </w:rPr>
        <w:t>Be involved in the delivery</w:t>
      </w:r>
      <w:r w:rsidR="00A02FC2" w:rsidRPr="00E056AE">
        <w:rPr>
          <w:rFonts w:cstheme="minorHAnsi"/>
          <w:bCs/>
        </w:rPr>
        <w:t xml:space="preserve"> of treatment to </w:t>
      </w:r>
      <w:r w:rsidR="000B2C52" w:rsidRPr="00E056AE">
        <w:rPr>
          <w:rFonts w:cstheme="minorHAnsi"/>
          <w:bCs/>
        </w:rPr>
        <w:t xml:space="preserve">LTBI and/or </w:t>
      </w:r>
      <w:r w:rsidR="00A02FC2" w:rsidRPr="00E056AE">
        <w:rPr>
          <w:rFonts w:cstheme="minorHAnsi"/>
          <w:bCs/>
        </w:rPr>
        <w:t xml:space="preserve">TB patients and management of clinical care </w:t>
      </w:r>
      <w:r w:rsidR="00355ED9" w:rsidRPr="00E056AE">
        <w:rPr>
          <w:rFonts w:cstheme="minorHAnsi"/>
          <w:bCs/>
        </w:rPr>
        <w:t>in migrant patients</w:t>
      </w:r>
      <w:r w:rsidR="00A02FC2" w:rsidRPr="00E056AE">
        <w:rPr>
          <w:rFonts w:cstheme="minorHAnsi"/>
          <w:bCs/>
        </w:rPr>
        <w:t xml:space="preserve"> (e.g. doctors, nurses involved in TB care):</w:t>
      </w:r>
    </w:p>
    <w:p w14:paraId="7676BB23" w14:textId="5DE49EAF" w:rsidR="00A02FC2" w:rsidRPr="00E056AE" w:rsidRDefault="00A02FC2" w:rsidP="001406ED">
      <w:pPr>
        <w:pStyle w:val="ListParagraph"/>
        <w:numPr>
          <w:ilvl w:val="0"/>
          <w:numId w:val="23"/>
        </w:numPr>
        <w:tabs>
          <w:tab w:val="num" w:pos="2880"/>
        </w:tabs>
        <w:spacing w:line="240" w:lineRule="auto"/>
        <w:rPr>
          <w:rFonts w:cstheme="minorHAnsi"/>
          <w:bCs/>
        </w:rPr>
      </w:pPr>
      <w:r w:rsidRPr="00E056AE">
        <w:rPr>
          <w:rFonts w:cstheme="minorHAnsi"/>
          <w:bCs/>
        </w:rPr>
        <w:t>Otherwise be involved in supporting</w:t>
      </w:r>
      <w:r w:rsidR="000B2C52" w:rsidRPr="00E056AE">
        <w:rPr>
          <w:rFonts w:cstheme="minorHAnsi"/>
          <w:bCs/>
        </w:rPr>
        <w:t xml:space="preserve"> LTBI/</w:t>
      </w:r>
      <w:r w:rsidRPr="00E056AE">
        <w:rPr>
          <w:rFonts w:cstheme="minorHAnsi"/>
          <w:bCs/>
        </w:rPr>
        <w:t xml:space="preserve">TB treatment and the individuals undertaking these treatments (e.g. voluntary sector workers and support workers specifically supporting </w:t>
      </w:r>
      <w:r w:rsidR="000B2C52" w:rsidRPr="00E056AE">
        <w:rPr>
          <w:rFonts w:cstheme="minorHAnsi"/>
          <w:bCs/>
        </w:rPr>
        <w:t>LTBI/</w:t>
      </w:r>
      <w:r w:rsidRPr="00E056AE">
        <w:rPr>
          <w:rFonts w:cstheme="minorHAnsi"/>
          <w:bCs/>
        </w:rPr>
        <w:t>TB patients)</w:t>
      </w:r>
      <w:r w:rsidR="00F61915" w:rsidRPr="00E056AE">
        <w:rPr>
          <w:rFonts w:cstheme="minorHAnsi"/>
          <w:bCs/>
        </w:rPr>
        <w:t>.</w:t>
      </w:r>
    </w:p>
    <w:p w14:paraId="74D3AD53" w14:textId="4266E3DC" w:rsidR="00475FDA" w:rsidRPr="00E056AE" w:rsidRDefault="00552E09" w:rsidP="00093582">
      <w:pPr>
        <w:spacing w:line="240" w:lineRule="auto"/>
        <w:rPr>
          <w:rFonts w:cstheme="minorHAnsi"/>
          <w:b/>
          <w:bCs/>
          <w:szCs w:val="22"/>
        </w:rPr>
      </w:pPr>
      <w:r w:rsidRPr="00E056AE">
        <w:rPr>
          <w:rFonts w:cstheme="minorHAnsi"/>
          <w:b/>
          <w:bCs/>
          <w:szCs w:val="22"/>
        </w:rPr>
        <w:t>7</w:t>
      </w:r>
      <w:r w:rsidR="00093582" w:rsidRPr="00E056AE">
        <w:rPr>
          <w:rFonts w:cstheme="minorHAnsi"/>
          <w:b/>
          <w:bCs/>
          <w:szCs w:val="22"/>
        </w:rPr>
        <w:t>.</w:t>
      </w:r>
      <w:r w:rsidR="0093643E" w:rsidRPr="00E056AE">
        <w:rPr>
          <w:rFonts w:cstheme="minorHAnsi"/>
          <w:b/>
          <w:bCs/>
          <w:szCs w:val="22"/>
        </w:rPr>
        <w:t>1.</w:t>
      </w:r>
      <w:r w:rsidR="00093582" w:rsidRPr="00E056AE">
        <w:rPr>
          <w:rFonts w:cstheme="minorHAnsi"/>
          <w:b/>
          <w:bCs/>
          <w:szCs w:val="22"/>
        </w:rPr>
        <w:t>2</w:t>
      </w:r>
      <w:r w:rsidR="00093582" w:rsidRPr="00E056AE">
        <w:rPr>
          <w:rFonts w:cstheme="minorHAnsi"/>
          <w:b/>
          <w:bCs/>
          <w:szCs w:val="22"/>
        </w:rPr>
        <w:tab/>
      </w:r>
      <w:r w:rsidR="00A86F4D" w:rsidRPr="00E056AE">
        <w:rPr>
          <w:rFonts w:cstheme="minorHAnsi"/>
          <w:b/>
          <w:bCs/>
          <w:szCs w:val="22"/>
        </w:rPr>
        <w:t>Exclusion c</w:t>
      </w:r>
      <w:r w:rsidR="00475FDA" w:rsidRPr="00E056AE">
        <w:rPr>
          <w:rFonts w:cstheme="minorHAnsi"/>
          <w:b/>
          <w:bCs/>
          <w:szCs w:val="22"/>
        </w:rPr>
        <w:t>riteria</w:t>
      </w:r>
      <w:r w:rsidR="001E070F" w:rsidRPr="00E056AE">
        <w:rPr>
          <w:rFonts w:cstheme="minorHAnsi"/>
          <w:b/>
          <w:bCs/>
          <w:szCs w:val="22"/>
        </w:rPr>
        <w:t xml:space="preserve"> </w:t>
      </w:r>
    </w:p>
    <w:p w14:paraId="00403DE7" w14:textId="14E62DBD" w:rsidR="00D65F50" w:rsidRPr="00E056AE" w:rsidRDefault="00A02FC2" w:rsidP="00A02FC2">
      <w:pPr>
        <w:spacing w:line="240" w:lineRule="auto"/>
        <w:rPr>
          <w:rFonts w:cstheme="minorHAnsi"/>
          <w:bCs/>
        </w:rPr>
      </w:pPr>
      <w:r w:rsidRPr="00E056AE">
        <w:rPr>
          <w:rFonts w:cstheme="minorHAnsi"/>
          <w:bCs/>
        </w:rPr>
        <w:lastRenderedPageBreak/>
        <w:t>Patient participants:</w:t>
      </w:r>
    </w:p>
    <w:p w14:paraId="5D756700" w14:textId="29A24C5A" w:rsidR="00A02FC2" w:rsidRPr="00E056AE" w:rsidRDefault="00A02FC2" w:rsidP="001406ED">
      <w:pPr>
        <w:pStyle w:val="ListParagraph"/>
        <w:numPr>
          <w:ilvl w:val="0"/>
          <w:numId w:val="24"/>
        </w:numPr>
        <w:spacing w:line="240" w:lineRule="auto"/>
        <w:rPr>
          <w:rFonts w:cstheme="minorHAnsi"/>
          <w:bCs/>
        </w:rPr>
      </w:pPr>
      <w:r w:rsidRPr="00E056AE">
        <w:rPr>
          <w:rFonts w:cstheme="minorHAnsi"/>
          <w:bCs/>
        </w:rPr>
        <w:t>No clear evidence of having had clinically confirmed</w:t>
      </w:r>
      <w:r w:rsidR="000B2C52" w:rsidRPr="00E056AE">
        <w:rPr>
          <w:rFonts w:cstheme="minorHAnsi"/>
          <w:bCs/>
        </w:rPr>
        <w:t xml:space="preserve"> LTBI/</w:t>
      </w:r>
      <w:r w:rsidRPr="00E056AE">
        <w:rPr>
          <w:rFonts w:cstheme="minorHAnsi"/>
          <w:bCs/>
        </w:rPr>
        <w:t>TB</w:t>
      </w:r>
    </w:p>
    <w:p w14:paraId="6338BEA3" w14:textId="623D8586" w:rsidR="00A02FC2" w:rsidRPr="00E056AE" w:rsidRDefault="000B2C52" w:rsidP="001406ED">
      <w:pPr>
        <w:pStyle w:val="ListParagraph"/>
        <w:numPr>
          <w:ilvl w:val="0"/>
          <w:numId w:val="24"/>
        </w:numPr>
        <w:spacing w:line="240" w:lineRule="auto"/>
        <w:rPr>
          <w:rFonts w:cstheme="minorHAnsi"/>
          <w:bCs/>
        </w:rPr>
      </w:pPr>
      <w:r w:rsidRPr="00E056AE">
        <w:rPr>
          <w:rFonts w:cstheme="minorHAnsi"/>
          <w:bCs/>
        </w:rPr>
        <w:t>LTBI</w:t>
      </w:r>
      <w:r w:rsidR="00147331" w:rsidRPr="00E056AE">
        <w:rPr>
          <w:rFonts w:cstheme="minorHAnsi"/>
          <w:bCs/>
        </w:rPr>
        <w:t xml:space="preserve"> and/or </w:t>
      </w:r>
      <w:r w:rsidR="00A02FC2" w:rsidRPr="00E056AE">
        <w:rPr>
          <w:rFonts w:cstheme="minorHAnsi"/>
          <w:bCs/>
        </w:rPr>
        <w:t>TB treatment was</w:t>
      </w:r>
      <w:r w:rsidR="0053022C" w:rsidRPr="00E056AE">
        <w:rPr>
          <w:rFonts w:cstheme="minorHAnsi"/>
          <w:bCs/>
        </w:rPr>
        <w:t xml:space="preserve"> only</w:t>
      </w:r>
      <w:r w:rsidR="00A02FC2" w:rsidRPr="00E056AE">
        <w:rPr>
          <w:rFonts w:cstheme="minorHAnsi"/>
          <w:bCs/>
        </w:rPr>
        <w:t xml:space="preserve"> received outside the UK</w:t>
      </w:r>
    </w:p>
    <w:p w14:paraId="71C04F62" w14:textId="5DAD4526" w:rsidR="00A46FF9" w:rsidRPr="00E056AE" w:rsidRDefault="00A46FF9" w:rsidP="001406ED">
      <w:pPr>
        <w:pStyle w:val="ListParagraph"/>
        <w:numPr>
          <w:ilvl w:val="0"/>
          <w:numId w:val="24"/>
        </w:numPr>
        <w:spacing w:line="240" w:lineRule="auto"/>
        <w:rPr>
          <w:rFonts w:cstheme="minorHAnsi"/>
          <w:bCs/>
        </w:rPr>
      </w:pPr>
      <w:r w:rsidRPr="00E056AE">
        <w:rPr>
          <w:rFonts w:cstheme="minorHAnsi"/>
          <w:bCs/>
        </w:rPr>
        <w:t>Individuals who may lack the capacity to consent, as determined by the mental capacity act framework</w:t>
      </w:r>
    </w:p>
    <w:p w14:paraId="18E8976D" w14:textId="6478325B" w:rsidR="00A02FC2" w:rsidRPr="00E056AE" w:rsidRDefault="00A02FC2" w:rsidP="00A02FC2">
      <w:pPr>
        <w:spacing w:line="240" w:lineRule="auto"/>
        <w:rPr>
          <w:rFonts w:cstheme="minorHAnsi"/>
          <w:bCs/>
        </w:rPr>
      </w:pPr>
      <w:r w:rsidRPr="00E056AE">
        <w:rPr>
          <w:rFonts w:cstheme="minorHAnsi"/>
          <w:bCs/>
        </w:rPr>
        <w:t>Service providers/staff:</w:t>
      </w:r>
    </w:p>
    <w:p w14:paraId="7230CAC9" w14:textId="428179C7" w:rsidR="00A02FC2" w:rsidRPr="00E056AE" w:rsidRDefault="00A02FC2" w:rsidP="001406ED">
      <w:pPr>
        <w:pStyle w:val="ListParagraph"/>
        <w:numPr>
          <w:ilvl w:val="0"/>
          <w:numId w:val="25"/>
        </w:numPr>
        <w:spacing w:line="240" w:lineRule="auto"/>
        <w:rPr>
          <w:rFonts w:cstheme="minorHAnsi"/>
          <w:bCs/>
        </w:rPr>
      </w:pPr>
      <w:r w:rsidRPr="00E056AE">
        <w:rPr>
          <w:rFonts w:cstheme="minorHAnsi"/>
          <w:bCs/>
        </w:rPr>
        <w:t xml:space="preserve">Individuals are not involved in delivering, monitoring or managing </w:t>
      </w:r>
      <w:r w:rsidR="000B2C52" w:rsidRPr="00E056AE">
        <w:rPr>
          <w:rFonts w:cstheme="minorHAnsi"/>
          <w:bCs/>
        </w:rPr>
        <w:t>LTBI/</w:t>
      </w:r>
      <w:r w:rsidRPr="00E056AE">
        <w:rPr>
          <w:rFonts w:cstheme="minorHAnsi"/>
          <w:bCs/>
        </w:rPr>
        <w:t xml:space="preserve">TB treatment, nor supporting individuals in receipt of </w:t>
      </w:r>
      <w:r w:rsidR="000B2C52" w:rsidRPr="00E056AE">
        <w:rPr>
          <w:rFonts w:cstheme="minorHAnsi"/>
          <w:bCs/>
        </w:rPr>
        <w:t>LTBI/</w:t>
      </w:r>
      <w:r w:rsidRPr="00E056AE">
        <w:rPr>
          <w:rFonts w:cstheme="minorHAnsi"/>
          <w:bCs/>
        </w:rPr>
        <w:t>TB treatment.</w:t>
      </w:r>
    </w:p>
    <w:p w14:paraId="1F01FB35" w14:textId="6958039B" w:rsidR="00A02FC2" w:rsidRPr="00E056AE" w:rsidRDefault="00A02FC2" w:rsidP="00A02FC2">
      <w:pPr>
        <w:tabs>
          <w:tab w:val="num" w:pos="2880"/>
        </w:tabs>
        <w:spacing w:line="240" w:lineRule="auto"/>
        <w:rPr>
          <w:rFonts w:cstheme="minorHAnsi"/>
          <w:bCs/>
          <w:szCs w:val="22"/>
        </w:rPr>
      </w:pPr>
      <w:r w:rsidRPr="00E056AE">
        <w:rPr>
          <w:rFonts w:cstheme="minorHAnsi"/>
          <w:bCs/>
          <w:szCs w:val="22"/>
        </w:rPr>
        <w:t xml:space="preserve">There </w:t>
      </w:r>
      <w:r w:rsidR="00C02C0B" w:rsidRPr="00E056AE">
        <w:rPr>
          <w:rFonts w:cstheme="minorHAnsi"/>
          <w:bCs/>
          <w:szCs w:val="22"/>
        </w:rPr>
        <w:t>will be</w:t>
      </w:r>
      <w:r w:rsidRPr="00E056AE">
        <w:rPr>
          <w:rFonts w:cstheme="minorHAnsi"/>
          <w:bCs/>
          <w:szCs w:val="22"/>
        </w:rPr>
        <w:t xml:space="preserve"> </w:t>
      </w:r>
      <w:r w:rsidRPr="00E056AE">
        <w:rPr>
          <w:rFonts w:cstheme="minorHAnsi"/>
          <w:b/>
          <w:bCs/>
          <w:i/>
          <w:szCs w:val="22"/>
        </w:rPr>
        <w:t>no</w:t>
      </w:r>
      <w:r w:rsidRPr="00E056AE">
        <w:rPr>
          <w:rFonts w:cstheme="minorHAnsi"/>
          <w:bCs/>
          <w:szCs w:val="22"/>
        </w:rPr>
        <w:t xml:space="preserve"> exclusions based on gender</w:t>
      </w:r>
      <w:r w:rsidR="0053022C" w:rsidRPr="00E056AE">
        <w:rPr>
          <w:rFonts w:cstheme="minorHAnsi"/>
          <w:bCs/>
          <w:szCs w:val="22"/>
        </w:rPr>
        <w:t>,</w:t>
      </w:r>
      <w:r w:rsidRPr="00E056AE">
        <w:rPr>
          <w:rFonts w:cstheme="minorHAnsi"/>
          <w:bCs/>
          <w:szCs w:val="22"/>
        </w:rPr>
        <w:t xml:space="preserve"> ethnicity</w:t>
      </w:r>
      <w:r w:rsidR="0053022C" w:rsidRPr="00E056AE">
        <w:rPr>
          <w:rFonts w:cstheme="minorHAnsi"/>
          <w:bCs/>
          <w:szCs w:val="22"/>
        </w:rPr>
        <w:t>, or language.</w:t>
      </w:r>
    </w:p>
    <w:p w14:paraId="53D9057D" w14:textId="5CB19254" w:rsidR="00475FDA" w:rsidRPr="00E056AE" w:rsidRDefault="0093643E" w:rsidP="00AE0D8A">
      <w:pPr>
        <w:spacing w:after="0" w:line="240" w:lineRule="auto"/>
        <w:rPr>
          <w:rFonts w:cstheme="minorHAnsi"/>
          <w:b/>
          <w:szCs w:val="22"/>
        </w:rPr>
      </w:pPr>
      <w:r w:rsidRPr="00E056AE">
        <w:rPr>
          <w:rFonts w:cstheme="minorHAnsi"/>
          <w:b/>
          <w:szCs w:val="22"/>
        </w:rPr>
        <w:t xml:space="preserve">7.2 </w:t>
      </w:r>
      <w:r w:rsidR="00475FDA" w:rsidRPr="00E056AE">
        <w:rPr>
          <w:rFonts w:cstheme="minorHAnsi"/>
          <w:b/>
          <w:szCs w:val="22"/>
        </w:rPr>
        <w:tab/>
      </w:r>
      <w:r w:rsidR="00F14F66" w:rsidRPr="00E056AE">
        <w:rPr>
          <w:rFonts w:cstheme="minorHAnsi"/>
          <w:b/>
          <w:szCs w:val="22"/>
        </w:rPr>
        <w:t>Sampling</w:t>
      </w:r>
    </w:p>
    <w:p w14:paraId="42A81850" w14:textId="77777777" w:rsidR="00AE0D8A" w:rsidRPr="00E056AE" w:rsidRDefault="00AE0D8A" w:rsidP="00AE0D8A">
      <w:pPr>
        <w:spacing w:after="0" w:line="240" w:lineRule="auto"/>
        <w:rPr>
          <w:rFonts w:eastAsiaTheme="majorEastAsia" w:cstheme="minorHAnsi"/>
          <w:b/>
          <w:bCs/>
          <w:szCs w:val="22"/>
        </w:rPr>
      </w:pPr>
    </w:p>
    <w:p w14:paraId="35EC4CC7" w14:textId="708F3F3A" w:rsidR="007E59CA" w:rsidRPr="00E056AE" w:rsidRDefault="00192BA1" w:rsidP="003802A1">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We will use purposive sampling to recruit a diverse sample in relation to demographic and migration experiences, informed by the 2011 census and demographics of the migrant population in the UK.</w:t>
      </w:r>
      <w:r w:rsidRPr="00E056AE">
        <w:rPr>
          <w:rFonts w:asciiTheme="minorHAnsi" w:hAnsiTheme="minorHAnsi" w:cstheme="minorHAnsi"/>
          <w:sz w:val="22"/>
          <w:szCs w:val="22"/>
        </w:rPr>
        <w:t xml:space="preserve"> </w:t>
      </w:r>
      <w:r w:rsidR="00A02FC2" w:rsidRPr="00E056AE">
        <w:rPr>
          <w:rFonts w:asciiTheme="minorHAnsi" w:hAnsiTheme="minorHAnsi" w:cstheme="minorHAnsi"/>
          <w:i w:val="0"/>
          <w:sz w:val="22"/>
          <w:szCs w:val="22"/>
        </w:rPr>
        <w:t xml:space="preserve">We will </w:t>
      </w:r>
      <w:r w:rsidR="00F46725" w:rsidRPr="00E056AE">
        <w:rPr>
          <w:rFonts w:asciiTheme="minorHAnsi" w:hAnsiTheme="minorHAnsi" w:cstheme="minorHAnsi"/>
          <w:i w:val="0"/>
          <w:sz w:val="22"/>
          <w:szCs w:val="22"/>
        </w:rPr>
        <w:t xml:space="preserve">also </w:t>
      </w:r>
      <w:r w:rsidR="00C02C0B" w:rsidRPr="00E056AE">
        <w:rPr>
          <w:rFonts w:asciiTheme="minorHAnsi" w:hAnsiTheme="minorHAnsi" w:cstheme="minorHAnsi"/>
          <w:i w:val="0"/>
          <w:sz w:val="22"/>
          <w:szCs w:val="22"/>
        </w:rPr>
        <w:t>use</w:t>
      </w:r>
      <w:r w:rsidR="00A02FC2" w:rsidRPr="00E056AE">
        <w:rPr>
          <w:rFonts w:asciiTheme="minorHAnsi" w:hAnsiTheme="minorHAnsi" w:cstheme="minorHAnsi"/>
          <w:i w:val="0"/>
          <w:sz w:val="22"/>
          <w:szCs w:val="22"/>
        </w:rPr>
        <w:t xml:space="preserve"> convenience sampling</w:t>
      </w:r>
      <w:r w:rsidR="002B64FB" w:rsidRPr="00E056AE">
        <w:rPr>
          <w:rFonts w:asciiTheme="minorHAnsi" w:hAnsiTheme="minorHAnsi" w:cstheme="minorHAnsi"/>
          <w:i w:val="0"/>
          <w:sz w:val="22"/>
          <w:szCs w:val="22"/>
        </w:rPr>
        <w:t xml:space="preserve">, in which we accept and recruit any willing participants, provided they meet the inclusion/exclusion </w:t>
      </w:r>
      <w:r w:rsidR="00566220" w:rsidRPr="00E056AE">
        <w:rPr>
          <w:rFonts w:asciiTheme="minorHAnsi" w:hAnsiTheme="minorHAnsi" w:cstheme="minorHAnsi"/>
          <w:i w:val="0"/>
          <w:sz w:val="22"/>
          <w:szCs w:val="22"/>
        </w:rPr>
        <w:t>criteria, and</w:t>
      </w:r>
      <w:r w:rsidRPr="00E056AE">
        <w:rPr>
          <w:rFonts w:asciiTheme="minorHAnsi" w:hAnsiTheme="minorHAnsi" w:cstheme="minorHAnsi"/>
          <w:i w:val="0"/>
          <w:sz w:val="22"/>
          <w:szCs w:val="22"/>
        </w:rPr>
        <w:t xml:space="preserve"> guided by the need for a diverse and representative sample</w:t>
      </w:r>
      <w:r w:rsidR="002B64FB" w:rsidRPr="00E056AE">
        <w:rPr>
          <w:rFonts w:asciiTheme="minorHAnsi" w:hAnsiTheme="minorHAnsi" w:cstheme="minorHAnsi"/>
          <w:i w:val="0"/>
          <w:sz w:val="22"/>
          <w:szCs w:val="22"/>
        </w:rPr>
        <w:t xml:space="preserve">. This will be achieved </w:t>
      </w:r>
      <w:r w:rsidR="00CF6331" w:rsidRPr="00E056AE">
        <w:rPr>
          <w:rFonts w:asciiTheme="minorHAnsi" w:hAnsiTheme="minorHAnsi" w:cstheme="minorHAnsi"/>
          <w:i w:val="0"/>
          <w:sz w:val="22"/>
          <w:szCs w:val="22"/>
        </w:rPr>
        <w:t>through</w:t>
      </w:r>
      <w:r w:rsidR="00A02FC2" w:rsidRPr="00E056AE">
        <w:rPr>
          <w:rFonts w:asciiTheme="minorHAnsi" w:hAnsiTheme="minorHAnsi" w:cstheme="minorHAnsi"/>
          <w:i w:val="0"/>
          <w:sz w:val="22"/>
          <w:szCs w:val="22"/>
        </w:rPr>
        <w:t xml:space="preserve"> advertising our study to the </w:t>
      </w:r>
      <w:r w:rsidR="000B2C52" w:rsidRPr="00E056AE">
        <w:rPr>
          <w:rFonts w:asciiTheme="minorHAnsi" w:hAnsiTheme="minorHAnsi" w:cstheme="minorHAnsi"/>
          <w:i w:val="0"/>
          <w:sz w:val="22"/>
          <w:szCs w:val="22"/>
        </w:rPr>
        <w:t>LTBI/</w:t>
      </w:r>
      <w:r w:rsidR="00A02FC2" w:rsidRPr="00E056AE">
        <w:rPr>
          <w:rFonts w:asciiTheme="minorHAnsi" w:hAnsiTheme="minorHAnsi" w:cstheme="minorHAnsi"/>
          <w:i w:val="0"/>
          <w:sz w:val="22"/>
          <w:szCs w:val="22"/>
        </w:rPr>
        <w:t>TB team</w:t>
      </w:r>
      <w:r w:rsidR="00302547" w:rsidRPr="00E056AE">
        <w:rPr>
          <w:rFonts w:asciiTheme="minorHAnsi" w:hAnsiTheme="minorHAnsi" w:cstheme="minorHAnsi"/>
          <w:i w:val="0"/>
          <w:sz w:val="22"/>
          <w:szCs w:val="22"/>
        </w:rPr>
        <w:t>s</w:t>
      </w:r>
      <w:r w:rsidR="00A02FC2" w:rsidRPr="00E056AE">
        <w:rPr>
          <w:rFonts w:asciiTheme="minorHAnsi" w:hAnsiTheme="minorHAnsi" w:cstheme="minorHAnsi"/>
          <w:i w:val="0"/>
          <w:sz w:val="22"/>
          <w:szCs w:val="22"/>
        </w:rPr>
        <w:t xml:space="preserve"> within the </w:t>
      </w:r>
      <w:r w:rsidR="00147331" w:rsidRPr="00E056AE">
        <w:rPr>
          <w:rFonts w:asciiTheme="minorHAnsi" w:hAnsiTheme="minorHAnsi" w:cstheme="minorHAnsi"/>
          <w:i w:val="0"/>
          <w:sz w:val="22"/>
          <w:szCs w:val="22"/>
        </w:rPr>
        <w:t xml:space="preserve">two survey </w:t>
      </w:r>
      <w:r w:rsidR="00A02FC2" w:rsidRPr="00E056AE">
        <w:rPr>
          <w:rFonts w:asciiTheme="minorHAnsi" w:hAnsiTheme="minorHAnsi" w:cstheme="minorHAnsi"/>
          <w:i w:val="0"/>
          <w:sz w:val="22"/>
          <w:szCs w:val="22"/>
        </w:rPr>
        <w:t>site</w:t>
      </w:r>
      <w:r w:rsidR="00302547" w:rsidRPr="00E056AE">
        <w:rPr>
          <w:rFonts w:asciiTheme="minorHAnsi" w:hAnsiTheme="minorHAnsi" w:cstheme="minorHAnsi"/>
          <w:i w:val="0"/>
          <w:sz w:val="22"/>
          <w:szCs w:val="22"/>
        </w:rPr>
        <w:t>s,</w:t>
      </w:r>
      <w:r w:rsidR="002B64FB" w:rsidRPr="00E056AE">
        <w:rPr>
          <w:rFonts w:asciiTheme="minorHAnsi" w:hAnsiTheme="minorHAnsi" w:cstheme="minorHAnsi"/>
          <w:i w:val="0"/>
          <w:sz w:val="22"/>
          <w:szCs w:val="22"/>
        </w:rPr>
        <w:t xml:space="preserve"> and directly </w:t>
      </w:r>
      <w:r w:rsidR="00CF6331" w:rsidRPr="00E056AE">
        <w:rPr>
          <w:rFonts w:asciiTheme="minorHAnsi" w:hAnsiTheme="minorHAnsi" w:cstheme="minorHAnsi"/>
          <w:i w:val="0"/>
          <w:sz w:val="22"/>
          <w:szCs w:val="22"/>
        </w:rPr>
        <w:t>liaising</w:t>
      </w:r>
      <w:r w:rsidR="002B64FB" w:rsidRPr="00E056AE">
        <w:rPr>
          <w:rFonts w:asciiTheme="minorHAnsi" w:hAnsiTheme="minorHAnsi" w:cstheme="minorHAnsi"/>
          <w:i w:val="0"/>
          <w:sz w:val="22"/>
          <w:szCs w:val="22"/>
        </w:rPr>
        <w:t xml:space="preserve"> with health-service providers at </w:t>
      </w:r>
      <w:r w:rsidR="00CF6331" w:rsidRPr="00E056AE">
        <w:rPr>
          <w:rFonts w:asciiTheme="minorHAnsi" w:hAnsiTheme="minorHAnsi" w:cstheme="minorHAnsi"/>
          <w:i w:val="0"/>
          <w:sz w:val="22"/>
          <w:szCs w:val="22"/>
        </w:rPr>
        <w:t>the two hospital sites</w:t>
      </w:r>
      <w:r w:rsidR="00BE1ABE" w:rsidRPr="00E056AE">
        <w:rPr>
          <w:rFonts w:asciiTheme="minorHAnsi" w:hAnsiTheme="minorHAnsi" w:cstheme="minorHAnsi"/>
          <w:i w:val="0"/>
          <w:sz w:val="22"/>
          <w:szCs w:val="22"/>
        </w:rPr>
        <w:t xml:space="preserve"> through word of mouth and email</w:t>
      </w:r>
      <w:r w:rsidR="00CF6331" w:rsidRPr="00E056AE">
        <w:rPr>
          <w:rFonts w:asciiTheme="minorHAnsi" w:hAnsiTheme="minorHAnsi" w:cstheme="minorHAnsi"/>
          <w:i w:val="0"/>
          <w:sz w:val="22"/>
          <w:szCs w:val="22"/>
        </w:rPr>
        <w:t xml:space="preserve">. </w:t>
      </w:r>
      <w:r w:rsidR="002B64FB" w:rsidRPr="00E056AE">
        <w:rPr>
          <w:rFonts w:asciiTheme="minorHAnsi" w:hAnsiTheme="minorHAnsi" w:cstheme="minorHAnsi"/>
          <w:i w:val="0"/>
          <w:sz w:val="22"/>
          <w:szCs w:val="22"/>
        </w:rPr>
        <w:t>We will also</w:t>
      </w:r>
      <w:r w:rsidR="00302547" w:rsidRPr="00E056AE">
        <w:rPr>
          <w:rFonts w:asciiTheme="minorHAnsi" w:hAnsiTheme="minorHAnsi" w:cstheme="minorHAnsi"/>
          <w:i w:val="0"/>
          <w:sz w:val="22"/>
          <w:szCs w:val="22"/>
        </w:rPr>
        <w:t xml:space="preserve"> encourage snowball sampling among </w:t>
      </w:r>
      <w:r w:rsidR="00CF6331" w:rsidRPr="00E056AE">
        <w:rPr>
          <w:rFonts w:asciiTheme="minorHAnsi" w:hAnsiTheme="minorHAnsi" w:cstheme="minorHAnsi"/>
          <w:i w:val="0"/>
          <w:sz w:val="22"/>
          <w:szCs w:val="22"/>
        </w:rPr>
        <w:t>health-service providers</w:t>
      </w:r>
      <w:r w:rsidR="00F46725" w:rsidRPr="00E056AE">
        <w:rPr>
          <w:rFonts w:asciiTheme="minorHAnsi" w:hAnsiTheme="minorHAnsi" w:cstheme="minorHAnsi"/>
          <w:i w:val="0"/>
          <w:sz w:val="22"/>
          <w:szCs w:val="22"/>
        </w:rPr>
        <w:t xml:space="preserve"> and patients</w:t>
      </w:r>
      <w:r w:rsidR="00302547" w:rsidRPr="00E056AE">
        <w:rPr>
          <w:rFonts w:asciiTheme="minorHAnsi" w:hAnsiTheme="minorHAnsi" w:cstheme="minorHAnsi"/>
          <w:i w:val="0"/>
          <w:sz w:val="22"/>
          <w:szCs w:val="22"/>
        </w:rPr>
        <w:t xml:space="preserve">, where </w:t>
      </w:r>
      <w:r w:rsidR="00147331" w:rsidRPr="00E056AE">
        <w:rPr>
          <w:rFonts w:asciiTheme="minorHAnsi" w:hAnsiTheme="minorHAnsi" w:cstheme="minorHAnsi"/>
          <w:i w:val="0"/>
          <w:sz w:val="22"/>
          <w:szCs w:val="22"/>
        </w:rPr>
        <w:t>potential participants are identified by other participants as the data collection takes place</w:t>
      </w:r>
      <w:r w:rsidR="00302547" w:rsidRPr="00E056AE">
        <w:rPr>
          <w:rFonts w:asciiTheme="minorHAnsi" w:hAnsiTheme="minorHAnsi" w:cstheme="minorHAnsi"/>
          <w:i w:val="0"/>
          <w:sz w:val="22"/>
          <w:szCs w:val="22"/>
        </w:rPr>
        <w:t xml:space="preserve">. Snowball sampling will also act as a useful mechanism for recruiting potential participants from outside of the immediate departments we are working with, </w:t>
      </w:r>
      <w:r w:rsidR="00F46725" w:rsidRPr="00E056AE">
        <w:rPr>
          <w:rFonts w:asciiTheme="minorHAnsi" w:hAnsiTheme="minorHAnsi" w:cstheme="minorHAnsi"/>
          <w:i w:val="0"/>
          <w:sz w:val="22"/>
          <w:szCs w:val="22"/>
        </w:rPr>
        <w:t xml:space="preserve">who </w:t>
      </w:r>
      <w:r w:rsidR="00302547" w:rsidRPr="00E056AE">
        <w:rPr>
          <w:rFonts w:asciiTheme="minorHAnsi" w:hAnsiTheme="minorHAnsi" w:cstheme="minorHAnsi"/>
          <w:i w:val="0"/>
          <w:sz w:val="22"/>
          <w:szCs w:val="22"/>
        </w:rPr>
        <w:t>staff may believe would have an interest in participating, but with whom the research team are unfamiliar</w:t>
      </w:r>
      <w:r w:rsidR="005607DD" w:rsidRPr="00E056AE">
        <w:rPr>
          <w:rFonts w:asciiTheme="minorHAnsi" w:hAnsiTheme="minorHAnsi" w:cstheme="minorHAnsi"/>
          <w:i w:val="0"/>
          <w:sz w:val="22"/>
          <w:szCs w:val="22"/>
        </w:rPr>
        <w:t xml:space="preserve"> (i.e. individual working in third-sector organisations)</w:t>
      </w:r>
      <w:r w:rsidR="00A02FC2" w:rsidRPr="00E056AE">
        <w:rPr>
          <w:rFonts w:asciiTheme="minorHAnsi" w:hAnsiTheme="minorHAnsi" w:cstheme="minorHAnsi"/>
          <w:i w:val="0"/>
          <w:sz w:val="22"/>
          <w:szCs w:val="22"/>
        </w:rPr>
        <w:t xml:space="preserve">. </w:t>
      </w:r>
    </w:p>
    <w:p w14:paraId="507E4548" w14:textId="74B99BA2" w:rsidR="002B64FB" w:rsidRPr="00E056AE" w:rsidRDefault="002B64FB" w:rsidP="003802A1">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Health-service providers, whilst being potential participants, will also help identify and recruit potential migrant patients. This will again be through convenience sampling of migrant patients attending clinics, </w:t>
      </w:r>
      <w:r w:rsidR="00717CD2" w:rsidRPr="00E056AE">
        <w:rPr>
          <w:rFonts w:asciiTheme="minorHAnsi" w:hAnsiTheme="minorHAnsi" w:cstheme="minorHAnsi"/>
          <w:i w:val="0"/>
          <w:sz w:val="22"/>
          <w:szCs w:val="22"/>
        </w:rPr>
        <w:t xml:space="preserve">to </w:t>
      </w:r>
      <w:r w:rsidRPr="00E056AE">
        <w:rPr>
          <w:rFonts w:asciiTheme="minorHAnsi" w:hAnsiTheme="minorHAnsi" w:cstheme="minorHAnsi"/>
          <w:i w:val="0"/>
          <w:sz w:val="22"/>
          <w:szCs w:val="22"/>
        </w:rPr>
        <w:t>whom health-service providers will advertise the study</w:t>
      </w:r>
      <w:r w:rsidR="00CF6331" w:rsidRPr="00E056AE">
        <w:rPr>
          <w:rFonts w:asciiTheme="minorHAnsi" w:hAnsiTheme="minorHAnsi" w:cstheme="minorHAnsi"/>
          <w:i w:val="0"/>
          <w:sz w:val="22"/>
          <w:szCs w:val="22"/>
        </w:rPr>
        <w:t>. This method is most suitable as health-service providers are far more familiar with their patients than our research team</w:t>
      </w:r>
      <w:r w:rsidR="00717CD2" w:rsidRPr="00E056AE">
        <w:rPr>
          <w:rFonts w:asciiTheme="minorHAnsi" w:hAnsiTheme="minorHAnsi" w:cstheme="minorHAnsi"/>
          <w:i w:val="0"/>
          <w:sz w:val="22"/>
          <w:szCs w:val="22"/>
        </w:rPr>
        <w:t>,</w:t>
      </w:r>
      <w:r w:rsidR="00CF6331" w:rsidRPr="00E056AE">
        <w:rPr>
          <w:rFonts w:asciiTheme="minorHAnsi" w:hAnsiTheme="minorHAnsi" w:cstheme="minorHAnsi"/>
          <w:i w:val="0"/>
          <w:sz w:val="22"/>
          <w:szCs w:val="22"/>
        </w:rPr>
        <w:t xml:space="preserve"> </w:t>
      </w:r>
      <w:r w:rsidR="00566220" w:rsidRPr="00E056AE">
        <w:rPr>
          <w:rFonts w:asciiTheme="minorHAnsi" w:hAnsiTheme="minorHAnsi" w:cstheme="minorHAnsi"/>
          <w:i w:val="0"/>
          <w:sz w:val="22"/>
          <w:szCs w:val="22"/>
        </w:rPr>
        <w:t>and</w:t>
      </w:r>
      <w:r w:rsidR="00CF6331" w:rsidRPr="00E056AE">
        <w:rPr>
          <w:rFonts w:asciiTheme="minorHAnsi" w:hAnsiTheme="minorHAnsi" w:cstheme="minorHAnsi"/>
          <w:i w:val="0"/>
          <w:sz w:val="22"/>
          <w:szCs w:val="22"/>
        </w:rPr>
        <w:t xml:space="preserve"> can use their personal and clinical judgement to assess which migrant patients may be </w:t>
      </w:r>
      <w:r w:rsidR="00717CD2" w:rsidRPr="00E056AE">
        <w:rPr>
          <w:rFonts w:asciiTheme="minorHAnsi" w:hAnsiTheme="minorHAnsi" w:cstheme="minorHAnsi"/>
          <w:i w:val="0"/>
          <w:sz w:val="22"/>
          <w:szCs w:val="22"/>
        </w:rPr>
        <w:t>interested in</w:t>
      </w:r>
      <w:r w:rsidR="00CF6331" w:rsidRPr="00E056AE">
        <w:rPr>
          <w:rFonts w:asciiTheme="minorHAnsi" w:hAnsiTheme="minorHAnsi" w:cstheme="minorHAnsi"/>
          <w:i w:val="0"/>
          <w:sz w:val="22"/>
          <w:szCs w:val="22"/>
        </w:rPr>
        <w:t xml:space="preserve"> participating in the research. </w:t>
      </w:r>
    </w:p>
    <w:p w14:paraId="000974D9" w14:textId="2BDD4D4B" w:rsidR="003768F0" w:rsidRPr="00E056AE" w:rsidRDefault="003768F0" w:rsidP="003802A1">
      <w:pPr>
        <w:pStyle w:val="BodyText"/>
        <w:tabs>
          <w:tab w:val="left" w:pos="709"/>
        </w:tabs>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7</w:t>
      </w:r>
      <w:r w:rsidR="00093582" w:rsidRPr="00E056AE">
        <w:rPr>
          <w:rFonts w:asciiTheme="minorHAnsi" w:hAnsiTheme="minorHAnsi" w:cstheme="minorHAnsi"/>
          <w:b/>
          <w:i w:val="0"/>
          <w:sz w:val="22"/>
          <w:szCs w:val="22"/>
        </w:rPr>
        <w:t>.</w:t>
      </w:r>
      <w:r w:rsidRPr="00E056AE">
        <w:rPr>
          <w:rFonts w:asciiTheme="minorHAnsi" w:hAnsiTheme="minorHAnsi" w:cstheme="minorHAnsi"/>
          <w:b/>
          <w:i w:val="0"/>
          <w:sz w:val="22"/>
          <w:szCs w:val="22"/>
        </w:rPr>
        <w:t xml:space="preserve">2.1 </w:t>
      </w:r>
      <w:r w:rsidR="00AF1D40" w:rsidRPr="00E056AE">
        <w:rPr>
          <w:rFonts w:asciiTheme="minorHAnsi" w:hAnsiTheme="minorHAnsi" w:cstheme="minorHAnsi"/>
          <w:b/>
          <w:i w:val="0"/>
          <w:sz w:val="22"/>
          <w:szCs w:val="22"/>
        </w:rPr>
        <w:tab/>
      </w:r>
      <w:r w:rsidRPr="00E056AE">
        <w:rPr>
          <w:rFonts w:asciiTheme="minorHAnsi" w:hAnsiTheme="minorHAnsi" w:cstheme="minorHAnsi"/>
          <w:b/>
          <w:i w:val="0"/>
          <w:sz w:val="22"/>
          <w:szCs w:val="22"/>
        </w:rPr>
        <w:t>Size of sample</w:t>
      </w:r>
    </w:p>
    <w:p w14:paraId="63EAF1E3" w14:textId="6112B08D" w:rsidR="00A02FC2" w:rsidRPr="00E056AE" w:rsidRDefault="00A02FC2" w:rsidP="003802A1">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We are aiming to recruit </w:t>
      </w:r>
      <w:r w:rsidR="00F74E17" w:rsidRPr="00E056AE">
        <w:rPr>
          <w:rFonts w:asciiTheme="minorHAnsi" w:hAnsiTheme="minorHAnsi" w:cstheme="minorHAnsi"/>
          <w:i w:val="0"/>
          <w:sz w:val="22"/>
          <w:szCs w:val="22"/>
        </w:rPr>
        <w:t>approximately 20 migrant patients</w:t>
      </w:r>
      <w:r w:rsidR="009B6A81" w:rsidRPr="00E056AE">
        <w:rPr>
          <w:rFonts w:asciiTheme="minorHAnsi" w:hAnsiTheme="minorHAnsi" w:cstheme="minorHAnsi"/>
          <w:i w:val="0"/>
          <w:sz w:val="22"/>
          <w:szCs w:val="22"/>
        </w:rPr>
        <w:t>, and 20 health-service providers</w:t>
      </w:r>
      <w:r w:rsidR="00F74E17" w:rsidRPr="00E056AE">
        <w:rPr>
          <w:rFonts w:asciiTheme="minorHAnsi" w:hAnsiTheme="minorHAnsi" w:cstheme="minorHAnsi"/>
          <w:i w:val="0"/>
          <w:sz w:val="22"/>
          <w:szCs w:val="22"/>
        </w:rPr>
        <w:t xml:space="preserve">. </w:t>
      </w:r>
      <w:r w:rsidR="00561B83" w:rsidRPr="00E056AE">
        <w:rPr>
          <w:rFonts w:asciiTheme="minorHAnsi" w:hAnsiTheme="minorHAnsi" w:cstheme="minorHAnsi"/>
          <w:i w:val="0"/>
          <w:sz w:val="22"/>
          <w:szCs w:val="22"/>
        </w:rPr>
        <w:t xml:space="preserve">We will therefore recruit approximately 40 individuals in </w:t>
      </w:r>
      <w:r w:rsidR="00566220" w:rsidRPr="00E056AE">
        <w:rPr>
          <w:rFonts w:asciiTheme="minorHAnsi" w:hAnsiTheme="minorHAnsi" w:cstheme="minorHAnsi"/>
          <w:i w:val="0"/>
          <w:sz w:val="22"/>
          <w:szCs w:val="22"/>
        </w:rPr>
        <w:t>total, though</w:t>
      </w:r>
      <w:r w:rsidRPr="00E056AE">
        <w:rPr>
          <w:rFonts w:asciiTheme="minorHAnsi" w:hAnsiTheme="minorHAnsi" w:cstheme="minorHAnsi"/>
          <w:i w:val="0"/>
          <w:sz w:val="22"/>
          <w:szCs w:val="22"/>
        </w:rPr>
        <w:t xml:space="preserve"> numbers will be guided by saturation. </w:t>
      </w:r>
      <w:r w:rsidR="00CF6331" w:rsidRPr="00E056AE">
        <w:rPr>
          <w:rFonts w:asciiTheme="minorHAnsi" w:hAnsiTheme="minorHAnsi" w:cstheme="minorHAnsi"/>
          <w:i w:val="0"/>
          <w:sz w:val="22"/>
          <w:szCs w:val="22"/>
        </w:rPr>
        <w:t xml:space="preserve">Saturation describes the point at which no new data or insights </w:t>
      </w:r>
      <w:r w:rsidR="007051DA" w:rsidRPr="00E056AE">
        <w:rPr>
          <w:rFonts w:asciiTheme="minorHAnsi" w:hAnsiTheme="minorHAnsi" w:cstheme="minorHAnsi"/>
          <w:i w:val="0"/>
          <w:sz w:val="22"/>
          <w:szCs w:val="22"/>
        </w:rPr>
        <w:t>are</w:t>
      </w:r>
      <w:r w:rsidR="00CF6331" w:rsidRPr="00E056AE">
        <w:rPr>
          <w:rFonts w:asciiTheme="minorHAnsi" w:hAnsiTheme="minorHAnsi" w:cstheme="minorHAnsi"/>
          <w:i w:val="0"/>
          <w:sz w:val="22"/>
          <w:szCs w:val="22"/>
        </w:rPr>
        <w:t xml:space="preserve"> being gained from </w:t>
      </w:r>
      <w:r w:rsidR="007051DA" w:rsidRPr="00E056AE">
        <w:rPr>
          <w:rFonts w:asciiTheme="minorHAnsi" w:hAnsiTheme="minorHAnsi" w:cstheme="minorHAnsi"/>
          <w:i w:val="0"/>
          <w:sz w:val="22"/>
          <w:szCs w:val="22"/>
        </w:rPr>
        <w:t>interviews or focus groups</w:t>
      </w:r>
      <w:r w:rsidR="000C5F14" w:rsidRPr="00E056AE">
        <w:rPr>
          <w:rFonts w:asciiTheme="minorHAnsi" w:hAnsiTheme="minorHAnsi" w:cstheme="minorHAnsi"/>
          <w:i w:val="0"/>
          <w:sz w:val="22"/>
          <w:szCs w:val="22"/>
        </w:rPr>
        <w:t xml:space="preserve"> and the analysis</w:t>
      </w:r>
      <w:r w:rsidR="007051DA" w:rsidRPr="00E056AE">
        <w:rPr>
          <w:rFonts w:asciiTheme="minorHAnsi" w:hAnsiTheme="minorHAnsi" w:cstheme="minorHAnsi"/>
          <w:i w:val="0"/>
          <w:sz w:val="22"/>
          <w:szCs w:val="22"/>
        </w:rPr>
        <w:t>,</w:t>
      </w:r>
      <w:r w:rsidR="007051DA" w:rsidRPr="00E056AE">
        <w:rPr>
          <w:rFonts w:asciiTheme="minorHAnsi" w:hAnsiTheme="minorHAnsi" w:cstheme="minorHAnsi"/>
          <w:i w:val="0"/>
          <w:sz w:val="22"/>
          <w:szCs w:val="22"/>
        </w:rPr>
        <w:fldChar w:fldCharType="begin" w:fldLock="1"/>
      </w:r>
      <w:r w:rsidR="009553AE" w:rsidRPr="00E056AE">
        <w:rPr>
          <w:rFonts w:asciiTheme="minorHAnsi" w:hAnsiTheme="minorHAnsi" w:cstheme="minorHAnsi"/>
          <w:i w:val="0"/>
          <w:sz w:val="22"/>
          <w:szCs w:val="22"/>
        </w:rPr>
        <w:instrText>ADDIN CSL_CITATION {"citationItems":[{"id":"ITEM-1","itemData":{"DOI":"10.1007/s11135-017-0574-8","ISSN":"0033-5177","author":[{"dropping-particle":"","family":"Saunders","given":"Benjamin","non-dropping-particle":"","parse-names":false,"suffix":""},{"dropping-particle":"","family":"Sim","given":"Julius","non-dropping-particle":"","parse-names":false,"suffix":""},{"dropping-particle":"","family":"Kingstone","given":"Tom","non-dropping-particle":"","parse-names":false,"suffix":""},{"dropping-particle":"","family":"Baker","given":"Shula","non-dropping-particle":"","parse-names":false,"suffix":""},{"dropping-particle":"","family":"Waterfield","given":"Jackie","non-dropping-particle":"","parse-names":false,"suffix":""},{"dropping-particle":"","family":"Bartlam","given":"Bernadette","non-dropping-particle":"","parse-names":false,"suffix":""},{"dropping-particle":"","family":"Burroughs","given":"Heather","non-dropping-particle":"","parse-names":false,"suffix":""},{"dropping-particle":"","family":"Jinks","given":"Clare","non-dropping-particle":"","parse-names":false,"suffix":""}],"container-title":"Quality &amp; Quantity","id":"ITEM-1","issue":"4","issued":{"date-parts":[["2018","7","14"]]},"page":"1893-1907","publisher":"Springer Netherlands","title":"Saturation in qualitative research: exploring its conceptualization and operationalization","type":"article-journal","volume":"52"},"uris":["http://www.mendeley.com/documents/?uuid=c41ef0e8-8d16-3e91-a551-fd32f82fceeb"]}],"mendeley":{"formattedCitation":"&lt;sup&gt;25&lt;/sup&gt;","plainTextFormattedCitation":"25","previouslyFormattedCitation":"&lt;sup&gt;25&lt;/sup&gt;"},"properties":{"noteIndex":0},"schema":"https://github.com/citation-style-language/schema/raw/master/csl-citation.json"}</w:instrText>
      </w:r>
      <w:r w:rsidR="007051DA" w:rsidRPr="00E056AE">
        <w:rPr>
          <w:rFonts w:asciiTheme="minorHAnsi" w:hAnsiTheme="minorHAnsi" w:cstheme="minorHAnsi"/>
          <w:i w:val="0"/>
          <w:sz w:val="22"/>
          <w:szCs w:val="22"/>
        </w:rPr>
        <w:fldChar w:fldCharType="separate"/>
      </w:r>
      <w:r w:rsidR="009553AE" w:rsidRPr="00E056AE">
        <w:rPr>
          <w:rFonts w:asciiTheme="minorHAnsi" w:hAnsiTheme="minorHAnsi" w:cstheme="minorHAnsi"/>
          <w:i w:val="0"/>
          <w:noProof/>
          <w:sz w:val="22"/>
          <w:szCs w:val="22"/>
          <w:vertAlign w:val="superscript"/>
        </w:rPr>
        <w:t>25</w:t>
      </w:r>
      <w:r w:rsidR="007051DA" w:rsidRPr="00E056AE">
        <w:rPr>
          <w:rFonts w:asciiTheme="minorHAnsi" w:hAnsiTheme="minorHAnsi" w:cstheme="minorHAnsi"/>
          <w:i w:val="0"/>
          <w:sz w:val="22"/>
          <w:szCs w:val="22"/>
        </w:rPr>
        <w:fldChar w:fldCharType="end"/>
      </w:r>
      <w:r w:rsidR="007051DA" w:rsidRPr="00E056AE">
        <w:rPr>
          <w:rFonts w:asciiTheme="minorHAnsi" w:hAnsiTheme="minorHAnsi" w:cstheme="minorHAnsi"/>
          <w:i w:val="0"/>
          <w:sz w:val="22"/>
          <w:szCs w:val="22"/>
        </w:rPr>
        <w:t xml:space="preserve"> and so it becomes both methodologically unnecessary to continue recruiting and interviewing individuals. </w:t>
      </w:r>
    </w:p>
    <w:p w14:paraId="01D20BD5" w14:textId="77777777" w:rsidR="003768F0" w:rsidRPr="00E056AE" w:rsidRDefault="003768F0" w:rsidP="003802A1">
      <w:pPr>
        <w:pStyle w:val="BodyText"/>
        <w:tabs>
          <w:tab w:val="left" w:pos="709"/>
        </w:tabs>
        <w:spacing w:after="120"/>
        <w:rPr>
          <w:rFonts w:asciiTheme="minorHAnsi" w:hAnsiTheme="minorHAnsi" w:cstheme="minorHAnsi"/>
          <w:b/>
          <w:i w:val="0"/>
          <w:sz w:val="22"/>
          <w:szCs w:val="22"/>
        </w:rPr>
      </w:pPr>
    </w:p>
    <w:p w14:paraId="67B1F43D" w14:textId="6D929282" w:rsidR="003768F0" w:rsidRPr="00E056AE" w:rsidRDefault="003768F0" w:rsidP="003802A1">
      <w:pPr>
        <w:pStyle w:val="BodyText"/>
        <w:tabs>
          <w:tab w:val="left" w:pos="709"/>
        </w:tabs>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 xml:space="preserve">7.2.2 </w:t>
      </w:r>
      <w:r w:rsidR="00AF1D40" w:rsidRPr="00E056AE">
        <w:rPr>
          <w:rFonts w:asciiTheme="minorHAnsi" w:hAnsiTheme="minorHAnsi" w:cstheme="minorHAnsi"/>
          <w:b/>
          <w:i w:val="0"/>
          <w:sz w:val="22"/>
          <w:szCs w:val="22"/>
        </w:rPr>
        <w:tab/>
      </w:r>
      <w:r w:rsidRPr="00E056AE">
        <w:rPr>
          <w:rFonts w:asciiTheme="minorHAnsi" w:hAnsiTheme="minorHAnsi" w:cstheme="minorHAnsi"/>
          <w:b/>
          <w:i w:val="0"/>
          <w:sz w:val="22"/>
          <w:szCs w:val="22"/>
        </w:rPr>
        <w:t>Sampling technique</w:t>
      </w:r>
    </w:p>
    <w:p w14:paraId="64BB19CE" w14:textId="2435563C" w:rsidR="00BA215B" w:rsidRPr="00E056AE" w:rsidRDefault="00BA215B" w:rsidP="00BA215B">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Participants will be recruited </w:t>
      </w:r>
      <w:r w:rsidR="000B6EAA" w:rsidRPr="00E056AE">
        <w:rPr>
          <w:rFonts w:asciiTheme="minorHAnsi" w:hAnsiTheme="minorHAnsi" w:cstheme="minorHAnsi"/>
          <w:i w:val="0"/>
          <w:sz w:val="22"/>
          <w:szCs w:val="22"/>
        </w:rPr>
        <w:t>through a mix of purposive</w:t>
      </w:r>
      <w:r w:rsidR="000C5F14" w:rsidRPr="00E056AE">
        <w:rPr>
          <w:rFonts w:asciiTheme="minorHAnsi" w:hAnsiTheme="minorHAnsi" w:cstheme="minorHAnsi"/>
          <w:i w:val="0"/>
          <w:sz w:val="22"/>
          <w:szCs w:val="22"/>
        </w:rPr>
        <w:t>,</w:t>
      </w:r>
      <w:r w:rsidR="000B6EAA" w:rsidRPr="00E056AE">
        <w:rPr>
          <w:rFonts w:asciiTheme="minorHAnsi" w:hAnsiTheme="minorHAnsi" w:cstheme="minorHAnsi"/>
          <w:i w:val="0"/>
          <w:sz w:val="22"/>
          <w:szCs w:val="22"/>
        </w:rPr>
        <w:t xml:space="preserve"> convenience</w:t>
      </w:r>
      <w:r w:rsidR="000C5F14" w:rsidRPr="00E056AE">
        <w:rPr>
          <w:rFonts w:asciiTheme="minorHAnsi" w:hAnsiTheme="minorHAnsi" w:cstheme="minorHAnsi"/>
          <w:i w:val="0"/>
          <w:sz w:val="22"/>
          <w:szCs w:val="22"/>
        </w:rPr>
        <w:t>, and snowball</w:t>
      </w:r>
      <w:r w:rsidR="000B6EAA" w:rsidRPr="00E056AE">
        <w:rPr>
          <w:rFonts w:asciiTheme="minorHAnsi" w:hAnsiTheme="minorHAnsi" w:cstheme="minorHAnsi"/>
          <w:i w:val="0"/>
          <w:sz w:val="22"/>
          <w:szCs w:val="22"/>
        </w:rPr>
        <w:t xml:space="preserve"> </w:t>
      </w:r>
      <w:r w:rsidRPr="00E056AE">
        <w:rPr>
          <w:rFonts w:asciiTheme="minorHAnsi" w:hAnsiTheme="minorHAnsi" w:cstheme="minorHAnsi"/>
          <w:i w:val="0"/>
          <w:sz w:val="22"/>
          <w:szCs w:val="22"/>
        </w:rPr>
        <w:t xml:space="preserve">sampling of service </w:t>
      </w:r>
      <w:r w:rsidR="004642AC" w:rsidRPr="00E056AE">
        <w:rPr>
          <w:rFonts w:asciiTheme="minorHAnsi" w:hAnsiTheme="minorHAnsi" w:cstheme="minorHAnsi"/>
          <w:i w:val="0"/>
          <w:sz w:val="22"/>
          <w:szCs w:val="22"/>
        </w:rPr>
        <w:t>health-service providers</w:t>
      </w:r>
      <w:r w:rsidRPr="00E056AE">
        <w:rPr>
          <w:rFonts w:asciiTheme="minorHAnsi" w:hAnsiTheme="minorHAnsi" w:cstheme="minorHAnsi"/>
          <w:i w:val="0"/>
          <w:sz w:val="22"/>
          <w:szCs w:val="22"/>
        </w:rPr>
        <w:t xml:space="preserve"> </w:t>
      </w:r>
      <w:r w:rsidR="00CA070E" w:rsidRPr="00E056AE">
        <w:rPr>
          <w:rFonts w:asciiTheme="minorHAnsi" w:hAnsiTheme="minorHAnsi" w:cstheme="minorHAnsi"/>
          <w:i w:val="0"/>
          <w:sz w:val="22"/>
          <w:szCs w:val="22"/>
        </w:rPr>
        <w:t>across the survey sites</w:t>
      </w:r>
      <w:r w:rsidR="004642AC" w:rsidRPr="00E056AE">
        <w:rPr>
          <w:rFonts w:asciiTheme="minorHAnsi" w:hAnsiTheme="minorHAnsi" w:cstheme="minorHAnsi"/>
          <w:i w:val="0"/>
          <w:sz w:val="22"/>
          <w:szCs w:val="22"/>
        </w:rPr>
        <w:t xml:space="preserve"> (St. George’s Hospital</w:t>
      </w:r>
      <w:r w:rsidR="00BE02FD" w:rsidRPr="00E056AE">
        <w:rPr>
          <w:rFonts w:asciiTheme="minorHAnsi" w:hAnsiTheme="minorHAnsi" w:cstheme="minorHAnsi"/>
          <w:i w:val="0"/>
          <w:sz w:val="22"/>
          <w:szCs w:val="22"/>
        </w:rPr>
        <w:t>,</w:t>
      </w:r>
      <w:r w:rsidR="004642AC" w:rsidRPr="00E056AE">
        <w:rPr>
          <w:rFonts w:asciiTheme="minorHAnsi" w:hAnsiTheme="minorHAnsi" w:cstheme="minorHAnsi"/>
          <w:i w:val="0"/>
          <w:sz w:val="22"/>
          <w:szCs w:val="22"/>
        </w:rPr>
        <w:t xml:space="preserve"> Croydon University Hospital</w:t>
      </w:r>
      <w:r w:rsidR="00BE02FD" w:rsidRPr="00E056AE">
        <w:rPr>
          <w:rFonts w:asciiTheme="minorHAnsi" w:hAnsiTheme="minorHAnsi" w:cstheme="minorHAnsi"/>
          <w:i w:val="0"/>
          <w:sz w:val="22"/>
          <w:szCs w:val="22"/>
        </w:rPr>
        <w:t>, Charing Cross Hospital, Hammersmith Hospital, St Mary’s Hospital</w:t>
      </w:r>
      <w:r w:rsidR="004642AC" w:rsidRPr="00E056AE">
        <w:rPr>
          <w:rFonts w:asciiTheme="minorHAnsi" w:hAnsiTheme="minorHAnsi" w:cstheme="minorHAnsi"/>
          <w:i w:val="0"/>
          <w:sz w:val="22"/>
          <w:szCs w:val="22"/>
        </w:rPr>
        <w:t>)</w:t>
      </w:r>
      <w:r w:rsidRPr="00E056AE">
        <w:rPr>
          <w:rFonts w:asciiTheme="minorHAnsi" w:hAnsiTheme="minorHAnsi" w:cstheme="minorHAnsi"/>
          <w:i w:val="0"/>
          <w:sz w:val="22"/>
          <w:szCs w:val="22"/>
        </w:rPr>
        <w:t xml:space="preserve">, along with patients receiving </w:t>
      </w:r>
      <w:r w:rsidR="000B2C52" w:rsidRPr="00E056AE">
        <w:rPr>
          <w:rFonts w:asciiTheme="minorHAnsi" w:hAnsiTheme="minorHAnsi" w:cstheme="minorHAnsi"/>
          <w:i w:val="0"/>
          <w:sz w:val="22"/>
          <w:szCs w:val="22"/>
        </w:rPr>
        <w:t>LTBI/</w:t>
      </w:r>
      <w:r w:rsidRPr="00E056AE">
        <w:rPr>
          <w:rFonts w:asciiTheme="minorHAnsi" w:hAnsiTheme="minorHAnsi" w:cstheme="minorHAnsi"/>
          <w:i w:val="0"/>
          <w:sz w:val="22"/>
          <w:szCs w:val="22"/>
        </w:rPr>
        <w:t>TB treatment</w:t>
      </w:r>
      <w:r w:rsidR="004642AC" w:rsidRPr="00E056AE">
        <w:rPr>
          <w:rFonts w:asciiTheme="minorHAnsi" w:hAnsiTheme="minorHAnsi" w:cstheme="minorHAnsi"/>
          <w:i w:val="0"/>
          <w:sz w:val="22"/>
          <w:szCs w:val="22"/>
        </w:rPr>
        <w:t xml:space="preserve"> at these sites.</w:t>
      </w:r>
      <w:r w:rsidRPr="00E056AE">
        <w:rPr>
          <w:rFonts w:asciiTheme="minorHAnsi" w:hAnsiTheme="minorHAnsi" w:cstheme="minorHAnsi"/>
          <w:i w:val="0"/>
          <w:sz w:val="22"/>
          <w:szCs w:val="22"/>
        </w:rPr>
        <w:t xml:space="preserve"> </w:t>
      </w:r>
    </w:p>
    <w:p w14:paraId="14B643A4" w14:textId="09E91E5F" w:rsidR="00BA215B" w:rsidRPr="00E056AE" w:rsidRDefault="00561B83" w:rsidP="00BA215B">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The rationale for this is that by utilising </w:t>
      </w:r>
      <w:r w:rsidR="00BE02FD" w:rsidRPr="00E056AE">
        <w:rPr>
          <w:rFonts w:asciiTheme="minorHAnsi" w:hAnsiTheme="minorHAnsi" w:cstheme="minorHAnsi"/>
          <w:i w:val="0"/>
          <w:sz w:val="22"/>
          <w:szCs w:val="22"/>
        </w:rPr>
        <w:t xml:space="preserve">multiple </w:t>
      </w:r>
      <w:r w:rsidRPr="00E056AE">
        <w:rPr>
          <w:rFonts w:asciiTheme="minorHAnsi" w:hAnsiTheme="minorHAnsi" w:cstheme="minorHAnsi"/>
          <w:i w:val="0"/>
          <w:sz w:val="22"/>
          <w:szCs w:val="22"/>
        </w:rPr>
        <w:t xml:space="preserve">sites </w:t>
      </w:r>
      <w:r w:rsidR="000C5F14" w:rsidRPr="00E056AE">
        <w:rPr>
          <w:rFonts w:asciiTheme="minorHAnsi" w:hAnsiTheme="minorHAnsi" w:cstheme="minorHAnsi"/>
          <w:i w:val="0"/>
          <w:sz w:val="22"/>
          <w:szCs w:val="22"/>
        </w:rPr>
        <w:t xml:space="preserve">and recruitment techniques </w:t>
      </w:r>
      <w:r w:rsidRPr="00E056AE">
        <w:rPr>
          <w:rFonts w:asciiTheme="minorHAnsi" w:hAnsiTheme="minorHAnsi" w:cstheme="minorHAnsi"/>
          <w:i w:val="0"/>
          <w:sz w:val="22"/>
          <w:szCs w:val="22"/>
        </w:rPr>
        <w:t>we are more likely to be able to easily recruit sufficient numbers of individuals to make the research robust and valid</w:t>
      </w:r>
      <w:r w:rsidR="000C5F14" w:rsidRPr="00E056AE">
        <w:rPr>
          <w:rFonts w:asciiTheme="minorHAnsi" w:hAnsiTheme="minorHAnsi" w:cstheme="minorHAnsi"/>
          <w:i w:val="0"/>
          <w:sz w:val="22"/>
          <w:szCs w:val="22"/>
        </w:rPr>
        <w:t>, and representative of diverse experiences</w:t>
      </w:r>
      <w:r w:rsidRPr="00E056AE">
        <w:rPr>
          <w:rFonts w:asciiTheme="minorHAnsi" w:hAnsiTheme="minorHAnsi" w:cstheme="minorHAnsi"/>
          <w:i w:val="0"/>
          <w:sz w:val="22"/>
          <w:szCs w:val="22"/>
        </w:rPr>
        <w:t xml:space="preserve">. Hospitals also represent a natural recruitment site as we are </w:t>
      </w:r>
      <w:r w:rsidRPr="00E056AE">
        <w:rPr>
          <w:rFonts w:asciiTheme="minorHAnsi" w:hAnsiTheme="minorHAnsi" w:cstheme="minorHAnsi"/>
          <w:i w:val="0"/>
          <w:sz w:val="22"/>
          <w:szCs w:val="22"/>
        </w:rPr>
        <w:lastRenderedPageBreak/>
        <w:t>interested in health-service providers views and experiences, and the they are also the point of care for individuals with LTBI or TB. Furthermore, we can use the existing infrastructure of hospitals and relationships health-service providers have with patients to facilitate recruitment of migrant-patients to our study. We believe leaning on the personal and clinical judgement of healthcare staff at our chosen sites is also a more appropriate and ethical means to identifying and recruiting migrant patients</w:t>
      </w:r>
      <w:r w:rsidR="005F035B" w:rsidRPr="00E056AE">
        <w:rPr>
          <w:rFonts w:asciiTheme="minorHAnsi" w:hAnsiTheme="minorHAnsi" w:cstheme="minorHAnsi"/>
          <w:i w:val="0"/>
          <w:sz w:val="22"/>
          <w:szCs w:val="22"/>
        </w:rPr>
        <w:t>, on the basis of the interest and capacity of potential participants</w:t>
      </w:r>
      <w:r w:rsidR="00E27E20" w:rsidRPr="00E056AE">
        <w:rPr>
          <w:rFonts w:asciiTheme="minorHAnsi" w:hAnsiTheme="minorHAnsi" w:cstheme="minorHAnsi"/>
          <w:i w:val="0"/>
          <w:sz w:val="22"/>
          <w:szCs w:val="22"/>
        </w:rPr>
        <w:t xml:space="preserve">. </w:t>
      </w:r>
      <w:r w:rsidRPr="00E056AE">
        <w:rPr>
          <w:rFonts w:asciiTheme="minorHAnsi" w:hAnsiTheme="minorHAnsi" w:cstheme="minorHAnsi"/>
          <w:i w:val="0"/>
          <w:sz w:val="22"/>
          <w:szCs w:val="22"/>
        </w:rPr>
        <w:t xml:space="preserve"> </w:t>
      </w:r>
    </w:p>
    <w:p w14:paraId="5EF75CA3" w14:textId="77777777" w:rsidR="003768F0" w:rsidRPr="00E056AE" w:rsidRDefault="003768F0" w:rsidP="003802A1">
      <w:pPr>
        <w:pStyle w:val="BodyText"/>
        <w:tabs>
          <w:tab w:val="left" w:pos="709"/>
        </w:tabs>
        <w:spacing w:after="120"/>
        <w:rPr>
          <w:rFonts w:asciiTheme="minorHAnsi" w:hAnsiTheme="minorHAnsi" w:cstheme="minorHAnsi"/>
          <w:b/>
          <w:i w:val="0"/>
          <w:sz w:val="22"/>
          <w:szCs w:val="22"/>
        </w:rPr>
      </w:pPr>
    </w:p>
    <w:p w14:paraId="5E332124" w14:textId="15DA6B41" w:rsidR="00475FDA" w:rsidRPr="00E056AE" w:rsidRDefault="003768F0" w:rsidP="003802A1">
      <w:pPr>
        <w:pStyle w:val="BodyText"/>
        <w:tabs>
          <w:tab w:val="left" w:pos="709"/>
        </w:tabs>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7.3</w:t>
      </w:r>
      <w:r w:rsidR="00AF1D40" w:rsidRPr="00E056AE">
        <w:rPr>
          <w:rFonts w:asciiTheme="minorHAnsi" w:hAnsiTheme="minorHAnsi" w:cstheme="minorHAnsi"/>
          <w:b/>
          <w:i w:val="0"/>
          <w:sz w:val="22"/>
          <w:szCs w:val="22"/>
        </w:rPr>
        <w:tab/>
      </w:r>
      <w:r w:rsidRPr="00E056AE">
        <w:rPr>
          <w:rFonts w:asciiTheme="minorHAnsi" w:hAnsiTheme="minorHAnsi" w:cstheme="minorHAnsi"/>
          <w:b/>
          <w:i w:val="0"/>
          <w:sz w:val="22"/>
          <w:szCs w:val="22"/>
        </w:rPr>
        <w:t xml:space="preserve"> </w:t>
      </w:r>
      <w:r w:rsidR="00475FDA" w:rsidRPr="00E056AE">
        <w:rPr>
          <w:rFonts w:asciiTheme="minorHAnsi" w:hAnsiTheme="minorHAnsi" w:cstheme="minorHAnsi"/>
          <w:b/>
          <w:i w:val="0"/>
          <w:sz w:val="22"/>
          <w:szCs w:val="22"/>
        </w:rPr>
        <w:t>Recruitment</w:t>
      </w:r>
    </w:p>
    <w:p w14:paraId="63C0F3EE" w14:textId="77777777" w:rsidR="00077C32" w:rsidRPr="00E056AE" w:rsidRDefault="00077C32" w:rsidP="003802A1">
      <w:pPr>
        <w:spacing w:line="240" w:lineRule="auto"/>
        <w:rPr>
          <w:rFonts w:cstheme="minorHAnsi"/>
          <w:color w:val="0000FF"/>
          <w:szCs w:val="22"/>
        </w:rPr>
      </w:pPr>
    </w:p>
    <w:p w14:paraId="42638DF7" w14:textId="0636F4D9" w:rsidR="00475FDA" w:rsidRPr="00E056AE" w:rsidRDefault="003768F0" w:rsidP="003802A1">
      <w:pPr>
        <w:pStyle w:val="BodyText"/>
        <w:spacing w:after="120"/>
        <w:rPr>
          <w:rFonts w:asciiTheme="minorHAnsi" w:hAnsiTheme="minorHAnsi" w:cstheme="minorHAnsi"/>
          <w:b/>
          <w:bCs/>
          <w:i w:val="0"/>
          <w:iCs/>
          <w:sz w:val="22"/>
          <w:szCs w:val="22"/>
        </w:rPr>
      </w:pPr>
      <w:r w:rsidRPr="00E056AE">
        <w:rPr>
          <w:rFonts w:asciiTheme="minorHAnsi" w:hAnsiTheme="minorHAnsi" w:cstheme="minorHAnsi"/>
          <w:b/>
          <w:bCs/>
          <w:i w:val="0"/>
          <w:iCs/>
          <w:sz w:val="22"/>
          <w:szCs w:val="22"/>
        </w:rPr>
        <w:t>7.3</w:t>
      </w:r>
      <w:r w:rsidR="00093582" w:rsidRPr="00E056AE">
        <w:rPr>
          <w:rFonts w:asciiTheme="minorHAnsi" w:hAnsiTheme="minorHAnsi" w:cstheme="minorHAnsi"/>
          <w:b/>
          <w:bCs/>
          <w:i w:val="0"/>
          <w:iCs/>
          <w:sz w:val="22"/>
          <w:szCs w:val="22"/>
        </w:rPr>
        <w:t xml:space="preserve">.1 </w:t>
      </w:r>
      <w:r w:rsidRPr="00E056AE">
        <w:rPr>
          <w:rFonts w:asciiTheme="minorHAnsi" w:hAnsiTheme="minorHAnsi" w:cstheme="minorHAnsi"/>
          <w:b/>
          <w:bCs/>
          <w:i w:val="0"/>
          <w:iCs/>
          <w:sz w:val="22"/>
          <w:szCs w:val="22"/>
        </w:rPr>
        <w:t>Sample</w:t>
      </w:r>
      <w:r w:rsidR="00475FDA" w:rsidRPr="00E056AE">
        <w:rPr>
          <w:rFonts w:asciiTheme="minorHAnsi" w:hAnsiTheme="minorHAnsi" w:cstheme="minorHAnsi"/>
          <w:b/>
          <w:bCs/>
          <w:i w:val="0"/>
          <w:iCs/>
          <w:sz w:val="22"/>
          <w:szCs w:val="22"/>
        </w:rPr>
        <w:t xml:space="preserve"> identification</w:t>
      </w:r>
    </w:p>
    <w:p w14:paraId="055BE993" w14:textId="63F33E52" w:rsidR="002E2321" w:rsidRPr="00E056AE" w:rsidRDefault="002E2321"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 xml:space="preserve">Potential </w:t>
      </w:r>
      <w:r w:rsidR="009F3B4E" w:rsidRPr="00E056AE">
        <w:rPr>
          <w:rFonts w:asciiTheme="minorHAnsi" w:hAnsiTheme="minorHAnsi" w:cstheme="minorHAnsi"/>
          <w:bCs/>
          <w:i w:val="0"/>
          <w:iCs/>
          <w:sz w:val="22"/>
          <w:szCs w:val="22"/>
        </w:rPr>
        <w:t>health-service provider</w:t>
      </w:r>
      <w:r w:rsidR="00566220" w:rsidRPr="00E056AE">
        <w:rPr>
          <w:rFonts w:asciiTheme="minorHAnsi" w:hAnsiTheme="minorHAnsi" w:cstheme="minorHAnsi"/>
          <w:bCs/>
          <w:i w:val="0"/>
          <w:iCs/>
          <w:sz w:val="22"/>
          <w:szCs w:val="22"/>
        </w:rPr>
        <w:t xml:space="preserve"> </w:t>
      </w:r>
      <w:r w:rsidRPr="00E056AE">
        <w:rPr>
          <w:rFonts w:asciiTheme="minorHAnsi" w:hAnsiTheme="minorHAnsi" w:cstheme="minorHAnsi"/>
          <w:bCs/>
          <w:i w:val="0"/>
          <w:iCs/>
          <w:sz w:val="22"/>
          <w:szCs w:val="22"/>
        </w:rPr>
        <w:t>participants will be identified through interaction between the research team and clinical team</w:t>
      </w:r>
      <w:r w:rsidR="009F3B4E" w:rsidRPr="00E056AE">
        <w:rPr>
          <w:rFonts w:asciiTheme="minorHAnsi" w:hAnsiTheme="minorHAnsi" w:cstheme="minorHAnsi"/>
          <w:bCs/>
          <w:i w:val="0"/>
          <w:iCs/>
          <w:sz w:val="22"/>
          <w:szCs w:val="22"/>
        </w:rPr>
        <w:t>s</w:t>
      </w:r>
      <w:r w:rsidRPr="00E056AE">
        <w:rPr>
          <w:rFonts w:asciiTheme="minorHAnsi" w:hAnsiTheme="minorHAnsi" w:cstheme="minorHAnsi"/>
          <w:bCs/>
          <w:i w:val="0"/>
          <w:iCs/>
          <w:sz w:val="22"/>
          <w:szCs w:val="22"/>
        </w:rPr>
        <w:t xml:space="preserve"> on site</w:t>
      </w:r>
      <w:r w:rsidR="009F3B4E" w:rsidRPr="00E056AE">
        <w:rPr>
          <w:rFonts w:asciiTheme="minorHAnsi" w:hAnsiTheme="minorHAnsi" w:cstheme="minorHAnsi"/>
          <w:bCs/>
          <w:i w:val="0"/>
          <w:iCs/>
          <w:sz w:val="22"/>
          <w:szCs w:val="22"/>
        </w:rPr>
        <w:t xml:space="preserve"> at St. George’s Hospital</w:t>
      </w:r>
      <w:r w:rsidR="006F198E" w:rsidRPr="00E056AE">
        <w:rPr>
          <w:rFonts w:asciiTheme="minorHAnsi" w:hAnsiTheme="minorHAnsi" w:cstheme="minorHAnsi"/>
          <w:bCs/>
          <w:i w:val="0"/>
          <w:iCs/>
          <w:sz w:val="22"/>
          <w:szCs w:val="22"/>
        </w:rPr>
        <w:t>,</w:t>
      </w:r>
      <w:r w:rsidR="00AF7D3A" w:rsidRPr="00E056AE">
        <w:rPr>
          <w:rFonts w:asciiTheme="minorHAnsi" w:hAnsiTheme="minorHAnsi" w:cstheme="minorHAnsi"/>
          <w:bCs/>
          <w:i w:val="0"/>
          <w:iCs/>
          <w:sz w:val="22"/>
          <w:szCs w:val="22"/>
        </w:rPr>
        <w:t xml:space="preserve"> </w:t>
      </w:r>
      <w:r w:rsidR="009F3B4E" w:rsidRPr="00E056AE">
        <w:rPr>
          <w:rFonts w:asciiTheme="minorHAnsi" w:hAnsiTheme="minorHAnsi" w:cstheme="minorHAnsi"/>
          <w:bCs/>
          <w:i w:val="0"/>
          <w:iCs/>
          <w:sz w:val="22"/>
          <w:szCs w:val="22"/>
        </w:rPr>
        <w:t>Croydon University Hospital</w:t>
      </w:r>
      <w:r w:rsidR="006F198E" w:rsidRPr="00E056AE">
        <w:rPr>
          <w:rFonts w:asciiTheme="minorHAnsi" w:hAnsiTheme="minorHAnsi" w:cstheme="minorHAnsi"/>
          <w:bCs/>
          <w:i w:val="0"/>
          <w:iCs/>
          <w:sz w:val="22"/>
          <w:szCs w:val="22"/>
        </w:rPr>
        <w:t>, Charing Cross Hospital, Hammersmith Hospital and St Mary’s Hospital</w:t>
      </w:r>
      <w:r w:rsidRPr="00E056AE">
        <w:rPr>
          <w:rFonts w:asciiTheme="minorHAnsi" w:hAnsiTheme="minorHAnsi" w:cstheme="minorHAnsi"/>
          <w:bCs/>
          <w:i w:val="0"/>
          <w:iCs/>
          <w:sz w:val="22"/>
          <w:szCs w:val="22"/>
        </w:rPr>
        <w:t>. We will approach the clinical team collectively and individually to gauge interest in the project, before fully recruiting and consenting individuals who wish to take part. We w</w:t>
      </w:r>
      <w:r w:rsidR="00CA070E" w:rsidRPr="00E056AE">
        <w:rPr>
          <w:rFonts w:asciiTheme="minorHAnsi" w:hAnsiTheme="minorHAnsi" w:cstheme="minorHAnsi"/>
          <w:bCs/>
          <w:i w:val="0"/>
          <w:iCs/>
          <w:sz w:val="22"/>
          <w:szCs w:val="22"/>
        </w:rPr>
        <w:t>ill</w:t>
      </w:r>
      <w:r w:rsidRPr="00E056AE">
        <w:rPr>
          <w:rFonts w:asciiTheme="minorHAnsi" w:hAnsiTheme="minorHAnsi" w:cstheme="minorHAnsi"/>
          <w:bCs/>
          <w:i w:val="0"/>
          <w:iCs/>
          <w:sz w:val="22"/>
          <w:szCs w:val="22"/>
        </w:rPr>
        <w:t xml:space="preserve"> also </w:t>
      </w:r>
      <w:r w:rsidR="00CA070E" w:rsidRPr="00E056AE">
        <w:rPr>
          <w:rFonts w:asciiTheme="minorHAnsi" w:hAnsiTheme="minorHAnsi" w:cstheme="minorHAnsi"/>
          <w:bCs/>
          <w:i w:val="0"/>
          <w:iCs/>
          <w:sz w:val="22"/>
          <w:szCs w:val="22"/>
        </w:rPr>
        <w:t>use</w:t>
      </w:r>
      <w:r w:rsidRPr="00E056AE">
        <w:rPr>
          <w:rFonts w:asciiTheme="minorHAnsi" w:hAnsiTheme="minorHAnsi" w:cstheme="minorHAnsi"/>
          <w:bCs/>
          <w:i w:val="0"/>
          <w:iCs/>
          <w:sz w:val="22"/>
          <w:szCs w:val="22"/>
        </w:rPr>
        <w:t xml:space="preserve"> snowball sampling</w:t>
      </w:r>
      <w:r w:rsidR="00CA070E" w:rsidRPr="00E056AE">
        <w:rPr>
          <w:rFonts w:asciiTheme="minorHAnsi" w:hAnsiTheme="minorHAnsi" w:cstheme="minorHAnsi"/>
          <w:bCs/>
          <w:i w:val="0"/>
          <w:iCs/>
          <w:sz w:val="22"/>
          <w:szCs w:val="22"/>
        </w:rPr>
        <w:t xml:space="preserve"> techniques</w:t>
      </w:r>
      <w:r w:rsidRPr="00E056AE">
        <w:rPr>
          <w:rFonts w:asciiTheme="minorHAnsi" w:hAnsiTheme="minorHAnsi" w:cstheme="minorHAnsi"/>
          <w:bCs/>
          <w:i w:val="0"/>
          <w:iCs/>
          <w:sz w:val="22"/>
          <w:szCs w:val="22"/>
        </w:rPr>
        <w:t xml:space="preserve"> to </w:t>
      </w:r>
      <w:r w:rsidR="00CA070E" w:rsidRPr="00E056AE">
        <w:rPr>
          <w:rFonts w:asciiTheme="minorHAnsi" w:hAnsiTheme="minorHAnsi" w:cstheme="minorHAnsi"/>
          <w:bCs/>
          <w:i w:val="0"/>
          <w:iCs/>
          <w:sz w:val="22"/>
          <w:szCs w:val="22"/>
        </w:rPr>
        <w:t xml:space="preserve">identify other potential participants </w:t>
      </w:r>
      <w:r w:rsidRPr="00E056AE">
        <w:rPr>
          <w:rFonts w:asciiTheme="minorHAnsi" w:hAnsiTheme="minorHAnsi" w:cstheme="minorHAnsi"/>
          <w:bCs/>
          <w:i w:val="0"/>
          <w:iCs/>
          <w:sz w:val="22"/>
          <w:szCs w:val="22"/>
        </w:rPr>
        <w:t>where the research team have not identified all potential participants in any group or individual interactions.</w:t>
      </w:r>
      <w:r w:rsidR="003F3B19" w:rsidRPr="00E056AE">
        <w:rPr>
          <w:rFonts w:asciiTheme="minorHAnsi" w:hAnsiTheme="minorHAnsi" w:cstheme="minorHAnsi"/>
          <w:bCs/>
          <w:i w:val="0"/>
          <w:iCs/>
          <w:sz w:val="22"/>
          <w:szCs w:val="22"/>
        </w:rPr>
        <w:t xml:space="preserve"> The exact form this will take is to attend staff meeting</w:t>
      </w:r>
      <w:r w:rsidR="007B7792" w:rsidRPr="00E056AE">
        <w:rPr>
          <w:rFonts w:asciiTheme="minorHAnsi" w:hAnsiTheme="minorHAnsi" w:cstheme="minorHAnsi"/>
          <w:bCs/>
          <w:i w:val="0"/>
          <w:iCs/>
          <w:sz w:val="22"/>
          <w:szCs w:val="22"/>
        </w:rPr>
        <w:t>s</w:t>
      </w:r>
      <w:r w:rsidR="003F3B19" w:rsidRPr="00E056AE">
        <w:rPr>
          <w:rFonts w:asciiTheme="minorHAnsi" w:hAnsiTheme="minorHAnsi" w:cstheme="minorHAnsi"/>
          <w:bCs/>
          <w:i w:val="0"/>
          <w:iCs/>
          <w:sz w:val="22"/>
          <w:szCs w:val="22"/>
        </w:rPr>
        <w:t xml:space="preserve"> at</w:t>
      </w:r>
      <w:r w:rsidR="00AF7D3A" w:rsidRPr="00E056AE">
        <w:rPr>
          <w:rFonts w:asciiTheme="minorHAnsi" w:hAnsiTheme="minorHAnsi" w:cstheme="minorHAnsi"/>
          <w:bCs/>
          <w:i w:val="0"/>
          <w:iCs/>
          <w:sz w:val="22"/>
          <w:szCs w:val="22"/>
        </w:rPr>
        <w:t xml:space="preserve"> </w:t>
      </w:r>
      <w:r w:rsidR="006F198E" w:rsidRPr="00E056AE">
        <w:rPr>
          <w:rFonts w:asciiTheme="minorHAnsi" w:hAnsiTheme="minorHAnsi" w:cstheme="minorHAnsi"/>
          <w:bCs/>
          <w:i w:val="0"/>
          <w:iCs/>
          <w:sz w:val="22"/>
          <w:szCs w:val="22"/>
        </w:rPr>
        <w:t>the sites, or convene a meeting specifically for this purpose ourselves</w:t>
      </w:r>
      <w:r w:rsidR="003F3B19" w:rsidRPr="00E056AE">
        <w:rPr>
          <w:rFonts w:asciiTheme="minorHAnsi" w:hAnsiTheme="minorHAnsi" w:cstheme="minorHAnsi"/>
          <w:bCs/>
          <w:i w:val="0"/>
          <w:iCs/>
          <w:sz w:val="22"/>
          <w:szCs w:val="22"/>
        </w:rPr>
        <w:t xml:space="preserve">. Through </w:t>
      </w:r>
      <w:r w:rsidR="007B7792" w:rsidRPr="00E056AE">
        <w:rPr>
          <w:rFonts w:asciiTheme="minorHAnsi" w:hAnsiTheme="minorHAnsi" w:cstheme="minorHAnsi"/>
          <w:bCs/>
          <w:i w:val="0"/>
          <w:iCs/>
          <w:sz w:val="22"/>
          <w:szCs w:val="22"/>
        </w:rPr>
        <w:t xml:space="preserve">these </w:t>
      </w:r>
      <w:r w:rsidR="003F3B19" w:rsidRPr="00E056AE">
        <w:rPr>
          <w:rFonts w:asciiTheme="minorHAnsi" w:hAnsiTheme="minorHAnsi" w:cstheme="minorHAnsi"/>
          <w:bCs/>
          <w:i w:val="0"/>
          <w:iCs/>
          <w:sz w:val="22"/>
          <w:szCs w:val="22"/>
        </w:rPr>
        <w:t>meeting</w:t>
      </w:r>
      <w:r w:rsidR="007B7792" w:rsidRPr="00E056AE">
        <w:rPr>
          <w:rFonts w:asciiTheme="minorHAnsi" w:hAnsiTheme="minorHAnsi" w:cstheme="minorHAnsi"/>
          <w:bCs/>
          <w:i w:val="0"/>
          <w:iCs/>
          <w:sz w:val="22"/>
          <w:szCs w:val="22"/>
        </w:rPr>
        <w:t>s</w:t>
      </w:r>
      <w:r w:rsidR="003F3B19" w:rsidRPr="00E056AE">
        <w:rPr>
          <w:rFonts w:asciiTheme="minorHAnsi" w:hAnsiTheme="minorHAnsi" w:cstheme="minorHAnsi"/>
          <w:bCs/>
          <w:i w:val="0"/>
          <w:iCs/>
          <w:sz w:val="22"/>
          <w:szCs w:val="22"/>
        </w:rPr>
        <w:t xml:space="preserve"> we will distributing participant information sheets and give an overview of the research/what participating would mean for health-service providers. We will then gather contact details of potential participants who have indicated their willingness to engage. We will also send out an email to the lead clinician for dissemination among the clinical teams, detailing information about the study to the same effect.</w:t>
      </w:r>
    </w:p>
    <w:p w14:paraId="2E7567E5" w14:textId="652BA6A1" w:rsidR="00101C69" w:rsidRPr="00E056AE" w:rsidRDefault="002E2321"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 xml:space="preserve">Potential </w:t>
      </w:r>
      <w:r w:rsidR="002514C9" w:rsidRPr="00E056AE">
        <w:rPr>
          <w:rFonts w:asciiTheme="minorHAnsi" w:hAnsiTheme="minorHAnsi" w:cstheme="minorHAnsi"/>
          <w:bCs/>
          <w:i w:val="0"/>
          <w:iCs/>
          <w:sz w:val="22"/>
          <w:szCs w:val="22"/>
        </w:rPr>
        <w:t>migrant</w:t>
      </w:r>
      <w:r w:rsidR="00B64FFF" w:rsidRPr="00E056AE">
        <w:rPr>
          <w:rFonts w:asciiTheme="minorHAnsi" w:hAnsiTheme="minorHAnsi" w:cstheme="minorHAnsi"/>
          <w:bCs/>
          <w:i w:val="0"/>
          <w:iCs/>
          <w:sz w:val="22"/>
          <w:szCs w:val="22"/>
        </w:rPr>
        <w:t xml:space="preserve"> </w:t>
      </w:r>
      <w:r w:rsidRPr="00E056AE">
        <w:rPr>
          <w:rFonts w:asciiTheme="minorHAnsi" w:hAnsiTheme="minorHAnsi" w:cstheme="minorHAnsi"/>
          <w:bCs/>
          <w:i w:val="0"/>
          <w:iCs/>
          <w:sz w:val="22"/>
          <w:szCs w:val="22"/>
        </w:rPr>
        <w:t xml:space="preserve">patient participants will be identified by the clinical teams responsible for </w:t>
      </w:r>
      <w:r w:rsidR="00302547" w:rsidRPr="00E056AE">
        <w:rPr>
          <w:rFonts w:asciiTheme="minorHAnsi" w:hAnsiTheme="minorHAnsi" w:cstheme="minorHAnsi"/>
          <w:bCs/>
          <w:i w:val="0"/>
          <w:iCs/>
          <w:sz w:val="22"/>
          <w:szCs w:val="22"/>
        </w:rPr>
        <w:t xml:space="preserve">LTBI and </w:t>
      </w:r>
      <w:r w:rsidRPr="00E056AE">
        <w:rPr>
          <w:rFonts w:asciiTheme="minorHAnsi" w:hAnsiTheme="minorHAnsi" w:cstheme="minorHAnsi"/>
          <w:bCs/>
          <w:i w:val="0"/>
          <w:iCs/>
          <w:sz w:val="22"/>
          <w:szCs w:val="22"/>
        </w:rPr>
        <w:t>TB care at the clinical site.</w:t>
      </w:r>
      <w:r w:rsidR="005A51CF" w:rsidRPr="00E056AE">
        <w:rPr>
          <w:rFonts w:asciiTheme="minorHAnsi" w:hAnsiTheme="minorHAnsi" w:cstheme="minorHAnsi"/>
          <w:bCs/>
          <w:i w:val="0"/>
          <w:iCs/>
          <w:sz w:val="22"/>
          <w:szCs w:val="22"/>
        </w:rPr>
        <w:t xml:space="preserve"> We will liaise with the clinical lead/ a designated research clinician within the department who will identify and contact potential migrant patient participants on behalf of the research </w:t>
      </w:r>
      <w:r w:rsidR="00B64FFF" w:rsidRPr="00E056AE">
        <w:rPr>
          <w:rFonts w:asciiTheme="minorHAnsi" w:hAnsiTheme="minorHAnsi" w:cstheme="minorHAnsi"/>
          <w:bCs/>
          <w:i w:val="0"/>
          <w:iCs/>
          <w:sz w:val="22"/>
          <w:szCs w:val="22"/>
        </w:rPr>
        <w:t>team</w:t>
      </w:r>
      <w:r w:rsidR="007B7792" w:rsidRPr="00E056AE">
        <w:rPr>
          <w:rFonts w:asciiTheme="minorHAnsi" w:hAnsiTheme="minorHAnsi" w:cstheme="minorHAnsi"/>
          <w:bCs/>
          <w:i w:val="0"/>
          <w:iCs/>
          <w:sz w:val="22"/>
          <w:szCs w:val="22"/>
        </w:rPr>
        <w:t>, and provide relevant information materials about the research.  The clinical lead can also</w:t>
      </w:r>
      <w:r w:rsidR="005A51CF" w:rsidRPr="00E056AE">
        <w:rPr>
          <w:rFonts w:asciiTheme="minorHAnsi" w:hAnsiTheme="minorHAnsi" w:cstheme="minorHAnsi"/>
          <w:bCs/>
          <w:i w:val="0"/>
          <w:iCs/>
          <w:sz w:val="22"/>
          <w:szCs w:val="22"/>
        </w:rPr>
        <w:t xml:space="preserve"> mediate the arrangements of the subsequent meeting and possible interview between the research team and patient participant</w:t>
      </w:r>
      <w:r w:rsidR="007B7792" w:rsidRPr="00E056AE">
        <w:rPr>
          <w:rFonts w:asciiTheme="minorHAnsi" w:hAnsiTheme="minorHAnsi" w:cstheme="minorHAnsi"/>
          <w:bCs/>
          <w:i w:val="0"/>
          <w:iCs/>
          <w:sz w:val="22"/>
          <w:szCs w:val="22"/>
        </w:rPr>
        <w:t xml:space="preserve"> where this is preferred by the patient, or the patient may contact the research team directly if they would prefer to elect or decline participation confidentially</w:t>
      </w:r>
      <w:r w:rsidR="005A51CF" w:rsidRPr="00E056AE">
        <w:rPr>
          <w:rFonts w:asciiTheme="minorHAnsi" w:hAnsiTheme="minorHAnsi" w:cstheme="minorHAnsi"/>
          <w:bCs/>
          <w:i w:val="0"/>
          <w:iCs/>
          <w:sz w:val="22"/>
          <w:szCs w:val="22"/>
        </w:rPr>
        <w:t xml:space="preserve">. No contact details will be disclosed by the clinical lead/researcher. </w:t>
      </w:r>
      <w:r w:rsidR="007B7792" w:rsidRPr="00E056AE">
        <w:rPr>
          <w:rFonts w:asciiTheme="minorHAnsi" w:hAnsiTheme="minorHAnsi" w:cstheme="minorHAnsi"/>
          <w:bCs/>
          <w:i w:val="0"/>
          <w:iCs/>
          <w:sz w:val="22"/>
          <w:szCs w:val="22"/>
        </w:rPr>
        <w:t>The research team will ask the clinical team to make any initial approaches to potential patient participants and give the potential patient participant a patient information leaflet (translated into key local languages where preferred) and give them sufficient time to read and digest the information before following them up. If interested in participating, the potential participant will be referred onwards to a member of the research team by facilitating a face-to-face meeting with a member of the research team. Meetings with potential participants will be scheduled to</w:t>
      </w:r>
      <w:r w:rsidR="005A51CF" w:rsidRPr="00E056AE">
        <w:rPr>
          <w:rFonts w:asciiTheme="minorHAnsi" w:hAnsiTheme="minorHAnsi" w:cstheme="minorHAnsi"/>
          <w:bCs/>
          <w:i w:val="0"/>
          <w:iCs/>
          <w:sz w:val="22"/>
          <w:szCs w:val="22"/>
        </w:rPr>
        <w:t xml:space="preserve"> coincid</w:t>
      </w:r>
      <w:r w:rsidR="007B7792" w:rsidRPr="00E056AE">
        <w:rPr>
          <w:rFonts w:asciiTheme="minorHAnsi" w:hAnsiTheme="minorHAnsi" w:cstheme="minorHAnsi"/>
          <w:bCs/>
          <w:i w:val="0"/>
          <w:iCs/>
          <w:sz w:val="22"/>
          <w:szCs w:val="22"/>
        </w:rPr>
        <w:t>e</w:t>
      </w:r>
      <w:r w:rsidR="005A51CF" w:rsidRPr="00E056AE">
        <w:rPr>
          <w:rFonts w:asciiTheme="minorHAnsi" w:hAnsiTheme="minorHAnsi" w:cstheme="minorHAnsi"/>
          <w:bCs/>
          <w:i w:val="0"/>
          <w:iCs/>
          <w:sz w:val="22"/>
          <w:szCs w:val="22"/>
        </w:rPr>
        <w:t xml:space="preserve"> with </w:t>
      </w:r>
      <w:r w:rsidR="007B7792" w:rsidRPr="00E056AE">
        <w:rPr>
          <w:rFonts w:asciiTheme="minorHAnsi" w:hAnsiTheme="minorHAnsi" w:cstheme="minorHAnsi"/>
          <w:bCs/>
          <w:i w:val="0"/>
          <w:iCs/>
          <w:sz w:val="22"/>
          <w:szCs w:val="22"/>
        </w:rPr>
        <w:t>a</w:t>
      </w:r>
      <w:r w:rsidR="005A51CF" w:rsidRPr="00E056AE">
        <w:rPr>
          <w:rFonts w:asciiTheme="minorHAnsi" w:hAnsiTheme="minorHAnsi" w:cstheme="minorHAnsi"/>
          <w:bCs/>
          <w:i w:val="0"/>
          <w:iCs/>
          <w:sz w:val="22"/>
          <w:szCs w:val="22"/>
        </w:rPr>
        <w:t xml:space="preserve"> scheduled </w:t>
      </w:r>
      <w:r w:rsidR="00B64FFF" w:rsidRPr="00E056AE">
        <w:rPr>
          <w:rFonts w:asciiTheme="minorHAnsi" w:hAnsiTheme="minorHAnsi" w:cstheme="minorHAnsi"/>
          <w:bCs/>
          <w:i w:val="0"/>
          <w:iCs/>
          <w:sz w:val="22"/>
          <w:szCs w:val="22"/>
        </w:rPr>
        <w:t>appointment</w:t>
      </w:r>
      <w:r w:rsidR="007B7792" w:rsidRPr="00E056AE">
        <w:rPr>
          <w:rFonts w:asciiTheme="minorHAnsi" w:hAnsiTheme="minorHAnsi" w:cstheme="minorHAnsi"/>
          <w:bCs/>
          <w:i w:val="0"/>
          <w:iCs/>
          <w:sz w:val="22"/>
          <w:szCs w:val="22"/>
        </w:rPr>
        <w:t xml:space="preserve">, or at a preferred time convenient to the patient.  </w:t>
      </w:r>
    </w:p>
    <w:p w14:paraId="46C2C21E" w14:textId="54FC29D6" w:rsidR="00997241" w:rsidRPr="00E056AE" w:rsidRDefault="00005B06"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 xml:space="preserve">The research team member </w:t>
      </w:r>
      <w:r w:rsidR="007B7792" w:rsidRPr="00E056AE">
        <w:rPr>
          <w:rFonts w:asciiTheme="minorHAnsi" w:hAnsiTheme="minorHAnsi" w:cstheme="minorHAnsi"/>
          <w:bCs/>
          <w:i w:val="0"/>
          <w:iCs/>
          <w:sz w:val="22"/>
          <w:szCs w:val="22"/>
        </w:rPr>
        <w:t>will be introduced to</w:t>
      </w:r>
      <w:r w:rsidRPr="00E056AE">
        <w:rPr>
          <w:rFonts w:asciiTheme="minorHAnsi" w:hAnsiTheme="minorHAnsi" w:cstheme="minorHAnsi"/>
          <w:bCs/>
          <w:i w:val="0"/>
          <w:iCs/>
          <w:sz w:val="22"/>
          <w:szCs w:val="22"/>
        </w:rPr>
        <w:t xml:space="preserve"> the potential participant</w:t>
      </w:r>
      <w:r w:rsidR="002E2321" w:rsidRPr="00E056AE">
        <w:rPr>
          <w:rFonts w:asciiTheme="minorHAnsi" w:hAnsiTheme="minorHAnsi" w:cstheme="minorHAnsi"/>
          <w:bCs/>
          <w:i w:val="0"/>
          <w:iCs/>
          <w:sz w:val="22"/>
          <w:szCs w:val="22"/>
        </w:rPr>
        <w:t>.</w:t>
      </w:r>
      <w:r w:rsidRPr="00E056AE">
        <w:rPr>
          <w:rFonts w:asciiTheme="minorHAnsi" w:hAnsiTheme="minorHAnsi" w:cstheme="minorHAnsi"/>
          <w:bCs/>
          <w:i w:val="0"/>
          <w:iCs/>
          <w:sz w:val="22"/>
          <w:szCs w:val="22"/>
        </w:rPr>
        <w:t xml:space="preserve"> The researcher will provide a new (but identical) PIS and go through this with the potential participant </w:t>
      </w:r>
      <w:r w:rsidR="007B7792" w:rsidRPr="00E056AE">
        <w:rPr>
          <w:rFonts w:asciiTheme="minorHAnsi" w:hAnsiTheme="minorHAnsi" w:cstheme="minorHAnsi"/>
          <w:bCs/>
          <w:i w:val="0"/>
          <w:iCs/>
          <w:sz w:val="22"/>
          <w:szCs w:val="22"/>
        </w:rPr>
        <w:t>verbally,</w:t>
      </w:r>
      <w:r w:rsidRPr="00E056AE">
        <w:rPr>
          <w:rFonts w:asciiTheme="minorHAnsi" w:hAnsiTheme="minorHAnsi" w:cstheme="minorHAnsi"/>
          <w:bCs/>
          <w:i w:val="0"/>
          <w:iCs/>
          <w:sz w:val="22"/>
          <w:szCs w:val="22"/>
        </w:rPr>
        <w:t xml:space="preserve"> ensure any questions they have are answered,</w:t>
      </w:r>
      <w:r w:rsidR="007B7792" w:rsidRPr="00E056AE">
        <w:rPr>
          <w:rFonts w:asciiTheme="minorHAnsi" w:hAnsiTheme="minorHAnsi" w:cstheme="minorHAnsi"/>
          <w:bCs/>
          <w:i w:val="0"/>
          <w:iCs/>
          <w:sz w:val="22"/>
          <w:szCs w:val="22"/>
        </w:rPr>
        <w:t xml:space="preserve"> and assess capacity to consent in line with the mental capacity act.  The researcher will then </w:t>
      </w:r>
      <w:r w:rsidRPr="00E056AE">
        <w:rPr>
          <w:rFonts w:asciiTheme="minorHAnsi" w:hAnsiTheme="minorHAnsi" w:cstheme="minorHAnsi"/>
          <w:bCs/>
          <w:i w:val="0"/>
          <w:iCs/>
          <w:sz w:val="22"/>
          <w:szCs w:val="22"/>
        </w:rPr>
        <w:t>arrange a date on which to carry out the interview. On the day of the interview, the researcher will again briefly go through the PIS with the participant</w:t>
      </w:r>
      <w:r w:rsidR="007B7792" w:rsidRPr="00E056AE">
        <w:rPr>
          <w:rFonts w:asciiTheme="minorHAnsi" w:hAnsiTheme="minorHAnsi" w:cstheme="minorHAnsi"/>
          <w:bCs/>
          <w:i w:val="0"/>
          <w:iCs/>
          <w:sz w:val="22"/>
          <w:szCs w:val="22"/>
        </w:rPr>
        <w:t xml:space="preserve"> and answer any remaining</w:t>
      </w:r>
      <w:r w:rsidRPr="00E056AE">
        <w:rPr>
          <w:rFonts w:asciiTheme="minorHAnsi" w:hAnsiTheme="minorHAnsi" w:cstheme="minorHAnsi"/>
          <w:bCs/>
          <w:i w:val="0"/>
          <w:iCs/>
          <w:sz w:val="22"/>
          <w:szCs w:val="22"/>
        </w:rPr>
        <w:t xml:space="preserve"> questions they may have, before having the potential participant sign </w:t>
      </w:r>
      <w:r w:rsidR="007B7792" w:rsidRPr="00E056AE">
        <w:rPr>
          <w:rFonts w:asciiTheme="minorHAnsi" w:hAnsiTheme="minorHAnsi" w:cstheme="minorHAnsi"/>
          <w:bCs/>
          <w:i w:val="0"/>
          <w:iCs/>
          <w:sz w:val="22"/>
          <w:szCs w:val="22"/>
        </w:rPr>
        <w:t xml:space="preserve">the </w:t>
      </w:r>
      <w:r w:rsidRPr="00E056AE">
        <w:rPr>
          <w:rFonts w:asciiTheme="minorHAnsi" w:hAnsiTheme="minorHAnsi" w:cstheme="minorHAnsi"/>
          <w:bCs/>
          <w:i w:val="0"/>
          <w:iCs/>
          <w:sz w:val="22"/>
          <w:szCs w:val="22"/>
        </w:rPr>
        <w:t>consent form, before conducting the interview.</w:t>
      </w:r>
    </w:p>
    <w:p w14:paraId="3660C6D1" w14:textId="4F2A48A5" w:rsidR="00845202" w:rsidRPr="00E056AE" w:rsidRDefault="00845202"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To minimise disruption to potential patient participants</w:t>
      </w:r>
      <w:r w:rsidR="007B7792" w:rsidRPr="00E056AE">
        <w:rPr>
          <w:rFonts w:asciiTheme="minorHAnsi" w:hAnsiTheme="minorHAnsi" w:cstheme="minorHAnsi"/>
          <w:bCs/>
          <w:i w:val="0"/>
          <w:iCs/>
          <w:sz w:val="22"/>
          <w:szCs w:val="22"/>
        </w:rPr>
        <w:t>,</w:t>
      </w:r>
      <w:r w:rsidRPr="00E056AE">
        <w:rPr>
          <w:rFonts w:asciiTheme="minorHAnsi" w:hAnsiTheme="minorHAnsi" w:cstheme="minorHAnsi"/>
          <w:bCs/>
          <w:i w:val="0"/>
          <w:iCs/>
          <w:sz w:val="22"/>
          <w:szCs w:val="22"/>
        </w:rPr>
        <w:t xml:space="preserve"> we would seek to schedule </w:t>
      </w:r>
      <w:r w:rsidR="00101C69" w:rsidRPr="00E056AE">
        <w:rPr>
          <w:rFonts w:asciiTheme="minorHAnsi" w:hAnsiTheme="minorHAnsi" w:cstheme="minorHAnsi"/>
          <w:bCs/>
          <w:i w:val="0"/>
          <w:iCs/>
          <w:sz w:val="22"/>
          <w:szCs w:val="22"/>
        </w:rPr>
        <w:t xml:space="preserve">meeting with the potential patient participants and </w:t>
      </w:r>
      <w:r w:rsidR="007B7792" w:rsidRPr="00E056AE">
        <w:rPr>
          <w:rFonts w:asciiTheme="minorHAnsi" w:hAnsiTheme="minorHAnsi" w:cstheme="minorHAnsi"/>
          <w:bCs/>
          <w:i w:val="0"/>
          <w:iCs/>
          <w:sz w:val="22"/>
          <w:szCs w:val="22"/>
        </w:rPr>
        <w:t xml:space="preserve">the </w:t>
      </w:r>
      <w:r w:rsidRPr="00E056AE">
        <w:rPr>
          <w:rFonts w:asciiTheme="minorHAnsi" w:hAnsiTheme="minorHAnsi" w:cstheme="minorHAnsi"/>
          <w:bCs/>
          <w:i w:val="0"/>
          <w:iCs/>
          <w:sz w:val="22"/>
          <w:szCs w:val="22"/>
        </w:rPr>
        <w:t xml:space="preserve">interview to coincide with their next scheduled hospital appointment. </w:t>
      </w:r>
      <w:r w:rsidRPr="00E056AE">
        <w:rPr>
          <w:rFonts w:asciiTheme="minorHAnsi" w:hAnsiTheme="minorHAnsi" w:cstheme="minorHAnsi"/>
          <w:bCs/>
          <w:i w:val="0"/>
          <w:iCs/>
          <w:sz w:val="22"/>
          <w:szCs w:val="22"/>
        </w:rPr>
        <w:lastRenderedPageBreak/>
        <w:t xml:space="preserve">However, if participants would prefer another time, or date, the research team will accommodate this. Participants will be </w:t>
      </w:r>
      <w:r w:rsidR="00110F73" w:rsidRPr="00E056AE">
        <w:rPr>
          <w:rFonts w:asciiTheme="minorHAnsi" w:hAnsiTheme="minorHAnsi" w:cstheme="minorHAnsi"/>
          <w:bCs/>
          <w:i w:val="0"/>
          <w:iCs/>
          <w:sz w:val="22"/>
          <w:szCs w:val="22"/>
        </w:rPr>
        <w:t>remunerated</w:t>
      </w:r>
      <w:r w:rsidRPr="00E056AE">
        <w:rPr>
          <w:rFonts w:asciiTheme="minorHAnsi" w:hAnsiTheme="minorHAnsi" w:cstheme="minorHAnsi"/>
          <w:bCs/>
          <w:i w:val="0"/>
          <w:iCs/>
          <w:sz w:val="22"/>
          <w:szCs w:val="22"/>
        </w:rPr>
        <w:t xml:space="preserve"> </w:t>
      </w:r>
      <w:r w:rsidR="00110F73" w:rsidRPr="00E056AE">
        <w:rPr>
          <w:rFonts w:asciiTheme="minorHAnsi" w:hAnsiTheme="minorHAnsi" w:cstheme="minorHAnsi"/>
          <w:bCs/>
          <w:i w:val="0"/>
          <w:iCs/>
          <w:sz w:val="22"/>
          <w:szCs w:val="22"/>
        </w:rPr>
        <w:t>for their time and travel expenses associated with attending the interview.</w:t>
      </w:r>
    </w:p>
    <w:p w14:paraId="68A3D713" w14:textId="620ADA64" w:rsidR="00667194" w:rsidRPr="00E056AE" w:rsidRDefault="00FF1FD0"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 xml:space="preserve">We propose a flat renumeration rate of £20 per </w:t>
      </w:r>
      <w:r w:rsidR="00667194" w:rsidRPr="00E056AE">
        <w:rPr>
          <w:rFonts w:asciiTheme="minorHAnsi" w:hAnsiTheme="minorHAnsi" w:cstheme="minorHAnsi"/>
          <w:bCs/>
          <w:i w:val="0"/>
          <w:iCs/>
          <w:sz w:val="22"/>
          <w:szCs w:val="22"/>
        </w:rPr>
        <w:t xml:space="preserve">migrant patient </w:t>
      </w:r>
      <w:r w:rsidRPr="00E056AE">
        <w:rPr>
          <w:rFonts w:asciiTheme="minorHAnsi" w:hAnsiTheme="minorHAnsi" w:cstheme="minorHAnsi"/>
          <w:bCs/>
          <w:i w:val="0"/>
          <w:iCs/>
          <w:sz w:val="22"/>
          <w:szCs w:val="22"/>
        </w:rPr>
        <w:t>participant per interview, with interviews predicted to last around 45 minutes to 1 hour.</w:t>
      </w:r>
    </w:p>
    <w:p w14:paraId="1C02E629" w14:textId="242D4126" w:rsidR="00FF1FD0" w:rsidRPr="00E056AE" w:rsidRDefault="00FF1FD0" w:rsidP="003802A1">
      <w:pPr>
        <w:pStyle w:val="BodyText"/>
        <w:spacing w:after="120"/>
        <w:rPr>
          <w:rFonts w:asciiTheme="minorHAnsi" w:hAnsiTheme="minorHAnsi" w:cstheme="minorHAnsi"/>
          <w:bCs/>
          <w:i w:val="0"/>
          <w:iCs/>
          <w:sz w:val="22"/>
          <w:szCs w:val="22"/>
        </w:rPr>
      </w:pPr>
      <w:r w:rsidRPr="00E056AE">
        <w:rPr>
          <w:rFonts w:asciiTheme="minorHAnsi" w:hAnsiTheme="minorHAnsi" w:cstheme="minorHAnsi"/>
          <w:bCs/>
          <w:i w:val="0"/>
          <w:iCs/>
          <w:sz w:val="22"/>
          <w:szCs w:val="22"/>
        </w:rPr>
        <w:t>Reasonable travel expenses will be reimbursed</w:t>
      </w:r>
      <w:r w:rsidR="00667194" w:rsidRPr="00E056AE">
        <w:rPr>
          <w:rFonts w:asciiTheme="minorHAnsi" w:hAnsiTheme="minorHAnsi" w:cstheme="minorHAnsi"/>
          <w:bCs/>
          <w:i w:val="0"/>
          <w:iCs/>
          <w:sz w:val="22"/>
          <w:szCs w:val="22"/>
        </w:rPr>
        <w:t xml:space="preserve"> for both migrant patient participants and health-service providers</w:t>
      </w:r>
      <w:r w:rsidRPr="00E056AE">
        <w:rPr>
          <w:rFonts w:asciiTheme="minorHAnsi" w:hAnsiTheme="minorHAnsi" w:cstheme="minorHAnsi"/>
          <w:bCs/>
          <w:i w:val="0"/>
          <w:iCs/>
          <w:sz w:val="22"/>
          <w:szCs w:val="22"/>
        </w:rPr>
        <w:t xml:space="preserve">.  </w:t>
      </w:r>
    </w:p>
    <w:p w14:paraId="5EA86D2B" w14:textId="460F617E" w:rsidR="00845202" w:rsidRPr="00E056AE" w:rsidRDefault="00845202" w:rsidP="003802A1">
      <w:pPr>
        <w:pStyle w:val="BodyText"/>
        <w:spacing w:after="120"/>
        <w:rPr>
          <w:rFonts w:asciiTheme="minorHAnsi" w:hAnsiTheme="minorHAnsi" w:cstheme="minorHAnsi"/>
          <w:bCs/>
          <w:i w:val="0"/>
          <w:iCs/>
          <w:sz w:val="22"/>
          <w:szCs w:val="22"/>
        </w:rPr>
      </w:pPr>
    </w:p>
    <w:p w14:paraId="6601EAD2" w14:textId="77777777" w:rsidR="00AE0D8A" w:rsidRPr="00E056AE"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52F02A5" w:rsidR="00475FDA" w:rsidRPr="00E056AE" w:rsidRDefault="00580154" w:rsidP="003802A1">
      <w:pPr>
        <w:pStyle w:val="BodyText"/>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7.3</w:t>
      </w:r>
      <w:r w:rsidR="00093582" w:rsidRPr="00E056AE">
        <w:rPr>
          <w:rFonts w:asciiTheme="minorHAnsi" w:hAnsiTheme="minorHAnsi" w:cstheme="minorHAnsi"/>
          <w:b/>
          <w:i w:val="0"/>
          <w:sz w:val="22"/>
          <w:szCs w:val="22"/>
        </w:rPr>
        <w:t xml:space="preserve">.2 </w:t>
      </w:r>
      <w:r w:rsidR="00475FDA" w:rsidRPr="00E056AE">
        <w:rPr>
          <w:rFonts w:asciiTheme="minorHAnsi" w:hAnsiTheme="minorHAnsi" w:cstheme="minorHAnsi"/>
          <w:b/>
          <w:i w:val="0"/>
          <w:sz w:val="22"/>
          <w:szCs w:val="22"/>
        </w:rPr>
        <w:t>C</w:t>
      </w:r>
      <w:r w:rsidR="00950F3F" w:rsidRPr="00E056AE">
        <w:rPr>
          <w:rFonts w:asciiTheme="minorHAnsi" w:hAnsiTheme="minorHAnsi" w:cstheme="minorHAnsi"/>
          <w:b/>
          <w:i w:val="0"/>
          <w:sz w:val="22"/>
          <w:szCs w:val="22"/>
        </w:rPr>
        <w:t>onsent</w:t>
      </w:r>
    </w:p>
    <w:p w14:paraId="070A3DC8" w14:textId="360FC34A" w:rsidR="008F44D5" w:rsidRPr="00E056AE" w:rsidRDefault="00A11EDD" w:rsidP="003802A1">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Informed consent will be gained through discussion between members of the research team and potential participants. The discussion will be supported by written participant information sheets</w:t>
      </w:r>
      <w:r w:rsidR="008F44D5" w:rsidRPr="00E056AE">
        <w:rPr>
          <w:rFonts w:asciiTheme="minorHAnsi" w:hAnsiTheme="minorHAnsi" w:cstheme="minorHAnsi"/>
          <w:i w:val="0"/>
          <w:sz w:val="22"/>
          <w:szCs w:val="22"/>
        </w:rPr>
        <w:t xml:space="preserve"> (PIS)</w:t>
      </w:r>
      <w:r w:rsidRPr="00E056AE">
        <w:rPr>
          <w:rFonts w:asciiTheme="minorHAnsi" w:hAnsiTheme="minorHAnsi" w:cstheme="minorHAnsi"/>
          <w:i w:val="0"/>
          <w:sz w:val="22"/>
          <w:szCs w:val="22"/>
        </w:rPr>
        <w:t xml:space="preserve">, which will be tailored to our two populations (patients </w:t>
      </w:r>
      <w:r w:rsidR="008F44D5" w:rsidRPr="00E056AE">
        <w:rPr>
          <w:rFonts w:asciiTheme="minorHAnsi" w:hAnsiTheme="minorHAnsi" w:cstheme="minorHAnsi"/>
          <w:i w:val="0"/>
          <w:sz w:val="22"/>
          <w:szCs w:val="22"/>
        </w:rPr>
        <w:t>&amp;</w:t>
      </w:r>
      <w:r w:rsidR="00C438AD" w:rsidRPr="00E056AE">
        <w:rPr>
          <w:rFonts w:asciiTheme="minorHAnsi" w:hAnsiTheme="minorHAnsi" w:cstheme="minorHAnsi"/>
          <w:i w:val="0"/>
          <w:sz w:val="22"/>
          <w:szCs w:val="22"/>
        </w:rPr>
        <w:t xml:space="preserve"> </w:t>
      </w:r>
      <w:r w:rsidR="000F4893" w:rsidRPr="00E056AE">
        <w:rPr>
          <w:rFonts w:asciiTheme="minorHAnsi" w:hAnsiTheme="minorHAnsi" w:cstheme="minorHAnsi"/>
          <w:i w:val="0"/>
          <w:sz w:val="22"/>
          <w:szCs w:val="22"/>
        </w:rPr>
        <w:t>health-service providers</w:t>
      </w:r>
      <w:r w:rsidR="008F44D5" w:rsidRPr="00E056AE">
        <w:rPr>
          <w:rFonts w:asciiTheme="minorHAnsi" w:hAnsiTheme="minorHAnsi" w:cstheme="minorHAnsi"/>
          <w:i w:val="0"/>
          <w:sz w:val="22"/>
          <w:szCs w:val="22"/>
        </w:rPr>
        <w:t xml:space="preserve">). </w:t>
      </w:r>
      <w:r w:rsidR="00005B06" w:rsidRPr="00E056AE">
        <w:rPr>
          <w:rFonts w:asciiTheme="minorHAnsi" w:hAnsiTheme="minorHAnsi" w:cstheme="minorHAnsi"/>
          <w:i w:val="0"/>
          <w:sz w:val="22"/>
          <w:szCs w:val="22"/>
        </w:rPr>
        <w:t>We will use the PIS to</w:t>
      </w:r>
      <w:r w:rsidR="008F44D5" w:rsidRPr="00E056AE">
        <w:rPr>
          <w:rFonts w:asciiTheme="minorHAnsi" w:hAnsiTheme="minorHAnsi" w:cstheme="minorHAnsi"/>
          <w:i w:val="0"/>
          <w:sz w:val="22"/>
          <w:szCs w:val="22"/>
        </w:rPr>
        <w:t xml:space="preserve"> detail the nature of the research, our objectives, and any risks involved with participation. The right to decline to participate, or to withdraw consent at any stage of the research will be explicitly stated on both the PIS and in discussion with potential participants.</w:t>
      </w:r>
      <w:r w:rsidR="00A46FF9" w:rsidRPr="00E056AE">
        <w:rPr>
          <w:rFonts w:asciiTheme="minorHAnsi" w:hAnsiTheme="minorHAnsi" w:cstheme="minorHAnsi"/>
          <w:i w:val="0"/>
          <w:sz w:val="22"/>
          <w:szCs w:val="22"/>
        </w:rPr>
        <w:t xml:space="preserve"> </w:t>
      </w:r>
      <w:r w:rsidR="00A46FF9" w:rsidRPr="00E056AE">
        <w:rPr>
          <w:rFonts w:asciiTheme="minorHAnsi" w:hAnsiTheme="minorHAnsi" w:cstheme="minorHAnsi"/>
          <w:i w:val="0"/>
        </w:rPr>
        <w:t xml:space="preserve">All study information (including information sheets and consent forms) will be explained orally, with support from an interpreter (language line or physical interpreter) where </w:t>
      </w:r>
      <w:r w:rsidR="00B64FFF" w:rsidRPr="00E056AE">
        <w:rPr>
          <w:rFonts w:asciiTheme="minorHAnsi" w:hAnsiTheme="minorHAnsi" w:cstheme="minorHAnsi"/>
          <w:i w:val="0"/>
        </w:rPr>
        <w:t>preferred.</w:t>
      </w:r>
      <w:r w:rsidR="00B64FFF" w:rsidRPr="00E056AE">
        <w:rPr>
          <w:rFonts w:asciiTheme="minorHAnsi" w:hAnsiTheme="minorHAnsi" w:cstheme="minorHAnsi"/>
        </w:rPr>
        <w:t xml:space="preserve"> </w:t>
      </w:r>
      <w:r w:rsidR="00B64FFF" w:rsidRPr="00E056AE">
        <w:rPr>
          <w:rFonts w:asciiTheme="minorHAnsi" w:hAnsiTheme="minorHAnsi" w:cstheme="minorHAnsi"/>
          <w:i w:val="0"/>
          <w:sz w:val="22"/>
          <w:szCs w:val="22"/>
        </w:rPr>
        <w:t xml:space="preserve">The </w:t>
      </w:r>
      <w:r w:rsidR="008F44D5" w:rsidRPr="00E056AE">
        <w:rPr>
          <w:rFonts w:asciiTheme="minorHAnsi" w:hAnsiTheme="minorHAnsi" w:cstheme="minorHAnsi"/>
          <w:i w:val="0"/>
          <w:sz w:val="22"/>
          <w:szCs w:val="22"/>
        </w:rPr>
        <w:t>opportunity will be given for participants to ask any questions about the scope of the research, or their rights as participants during the consent process.</w:t>
      </w:r>
    </w:p>
    <w:p w14:paraId="74C86CB5" w14:textId="27EC8402" w:rsidR="00C539A0" w:rsidRPr="00E056AE" w:rsidRDefault="00C539A0" w:rsidP="003802A1">
      <w:pPr>
        <w:pStyle w:val="BodyText"/>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t>Consent for migrant patient participants</w:t>
      </w:r>
    </w:p>
    <w:p w14:paraId="3790FACC" w14:textId="68DDD78C" w:rsidR="00C539A0" w:rsidRPr="00E056AE" w:rsidRDefault="00C539A0" w:rsidP="003802A1">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Clinical staff will make initial approaches to potential patient participants, either coinciding with a routine appointment, or direct contact via phone. The clinical staff will provide potential participants with a PIS, translated into the key dominant local language requested where necessary.</w:t>
      </w:r>
      <w:r w:rsidR="002974F2" w:rsidRPr="00E056AE">
        <w:rPr>
          <w:rFonts w:asciiTheme="minorHAnsi" w:hAnsiTheme="minorHAnsi" w:cstheme="minorHAnsi"/>
          <w:i w:val="0"/>
          <w:sz w:val="22"/>
          <w:szCs w:val="22"/>
        </w:rPr>
        <w:t xml:space="preserve"> The clinician will provide a broad, brief outline of the work, aided by the PIS. If the potential patient participant confirms they are interested in participating, the clinician will request permission from the participant for a member of the research team to meet with the potential patient participant coinciding with their next scheduled appointment to carry out the interview</w:t>
      </w:r>
      <w:r w:rsidR="00C438AD" w:rsidRPr="00E056AE">
        <w:rPr>
          <w:rFonts w:asciiTheme="minorHAnsi" w:hAnsiTheme="minorHAnsi" w:cstheme="minorHAnsi"/>
          <w:i w:val="0"/>
          <w:sz w:val="22"/>
          <w:szCs w:val="22"/>
        </w:rPr>
        <w:t>.  T</w:t>
      </w:r>
      <w:r w:rsidR="002974F2" w:rsidRPr="00E056AE">
        <w:rPr>
          <w:rFonts w:asciiTheme="minorHAnsi" w:hAnsiTheme="minorHAnsi" w:cstheme="minorHAnsi"/>
          <w:i w:val="0"/>
          <w:sz w:val="22"/>
          <w:szCs w:val="22"/>
        </w:rPr>
        <w:t xml:space="preserve">he details of the appointment time will then be passed on to the research team. </w:t>
      </w:r>
    </w:p>
    <w:p w14:paraId="26668A32" w14:textId="72152567" w:rsidR="002974F2" w:rsidRPr="00E056AE" w:rsidRDefault="002974F2" w:rsidP="003802A1">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When meeting the potential patient participant for interview, our researcher will again provide a PIS (translated where necessary). Our researcher will give an overview of the research, the benefits, and risks of participation, and answer any questions the potential participant may have</w:t>
      </w:r>
      <w:r w:rsidR="00E85EDF" w:rsidRPr="00E056AE">
        <w:rPr>
          <w:rFonts w:asciiTheme="minorHAnsi" w:hAnsiTheme="minorHAnsi" w:cstheme="minorHAnsi"/>
          <w:i w:val="0"/>
          <w:sz w:val="22"/>
          <w:szCs w:val="22"/>
        </w:rPr>
        <w:t>.  An interpreter</w:t>
      </w:r>
      <w:r w:rsidR="00CA3FC9" w:rsidRPr="00E056AE">
        <w:rPr>
          <w:rFonts w:asciiTheme="minorHAnsi" w:hAnsiTheme="minorHAnsi" w:cstheme="minorHAnsi"/>
          <w:i w:val="0"/>
          <w:sz w:val="22"/>
          <w:szCs w:val="22"/>
        </w:rPr>
        <w:t xml:space="preserve"> </w:t>
      </w:r>
      <w:r w:rsidR="00E85EDF" w:rsidRPr="00E056AE">
        <w:rPr>
          <w:rFonts w:asciiTheme="minorHAnsi" w:hAnsiTheme="minorHAnsi" w:cstheme="minorHAnsi"/>
          <w:i w:val="0"/>
          <w:sz w:val="22"/>
          <w:szCs w:val="22"/>
        </w:rPr>
        <w:t>can be provided</w:t>
      </w:r>
      <w:r w:rsidR="00CA3FC9" w:rsidRPr="00E056AE">
        <w:rPr>
          <w:rFonts w:asciiTheme="minorHAnsi" w:hAnsiTheme="minorHAnsi" w:cstheme="minorHAnsi"/>
          <w:i w:val="0"/>
          <w:sz w:val="22"/>
          <w:szCs w:val="22"/>
        </w:rPr>
        <w:t xml:space="preserve"> if </w:t>
      </w:r>
      <w:r w:rsidR="00E85EDF" w:rsidRPr="00E056AE">
        <w:rPr>
          <w:rFonts w:asciiTheme="minorHAnsi" w:hAnsiTheme="minorHAnsi" w:cstheme="minorHAnsi"/>
          <w:i w:val="0"/>
          <w:sz w:val="22"/>
          <w:szCs w:val="22"/>
        </w:rPr>
        <w:t>preferred</w:t>
      </w:r>
      <w:r w:rsidRPr="00E056AE">
        <w:rPr>
          <w:rFonts w:asciiTheme="minorHAnsi" w:hAnsiTheme="minorHAnsi" w:cstheme="minorHAnsi"/>
          <w:i w:val="0"/>
          <w:sz w:val="22"/>
          <w:szCs w:val="22"/>
        </w:rPr>
        <w:t>. If after this discussion the potential participant confirms they would like to take part in the research and continue with the interview</w:t>
      </w:r>
      <w:r w:rsidR="00E85EDF" w:rsidRPr="00E056AE">
        <w:rPr>
          <w:rFonts w:asciiTheme="minorHAnsi" w:hAnsiTheme="minorHAnsi" w:cstheme="minorHAnsi"/>
          <w:i w:val="0"/>
          <w:sz w:val="22"/>
          <w:szCs w:val="22"/>
        </w:rPr>
        <w:t>,</w:t>
      </w:r>
      <w:r w:rsidRPr="00E056AE">
        <w:rPr>
          <w:rFonts w:asciiTheme="minorHAnsi" w:hAnsiTheme="minorHAnsi" w:cstheme="minorHAnsi"/>
          <w:i w:val="0"/>
          <w:sz w:val="22"/>
          <w:szCs w:val="22"/>
        </w:rPr>
        <w:t xml:space="preserve"> they will be asked to sign a consent form.</w:t>
      </w:r>
      <w:r w:rsidR="00E1725C" w:rsidRPr="00E056AE">
        <w:rPr>
          <w:rFonts w:asciiTheme="minorHAnsi" w:hAnsiTheme="minorHAnsi" w:cstheme="minorHAnsi"/>
          <w:i w:val="0"/>
          <w:sz w:val="22"/>
          <w:szCs w:val="22"/>
        </w:rPr>
        <w:t xml:space="preserve"> It will be made clear to participants during discussion that the signing of a consent form does not supersede their right to withdraw from the study at any point, including for example, immediately after signing. </w:t>
      </w:r>
      <w:r w:rsidRPr="00E056AE">
        <w:rPr>
          <w:rFonts w:asciiTheme="minorHAnsi" w:hAnsiTheme="minorHAnsi" w:cstheme="minorHAnsi"/>
          <w:i w:val="0"/>
          <w:sz w:val="22"/>
          <w:szCs w:val="22"/>
        </w:rPr>
        <w:t xml:space="preserve">This marks the point at which informed consent will be deemed to have been </w:t>
      </w:r>
      <w:r w:rsidR="00E85EDF" w:rsidRPr="00E056AE">
        <w:rPr>
          <w:rFonts w:asciiTheme="minorHAnsi" w:hAnsiTheme="minorHAnsi" w:cstheme="minorHAnsi"/>
          <w:i w:val="0"/>
          <w:sz w:val="22"/>
          <w:szCs w:val="22"/>
        </w:rPr>
        <w:t>acquired</w:t>
      </w:r>
      <w:r w:rsidRPr="00E056AE">
        <w:rPr>
          <w:rFonts w:asciiTheme="minorHAnsi" w:hAnsiTheme="minorHAnsi" w:cstheme="minorHAnsi"/>
          <w:i w:val="0"/>
          <w:sz w:val="22"/>
          <w:szCs w:val="22"/>
        </w:rPr>
        <w:t xml:space="preserve">. </w:t>
      </w:r>
      <w:r w:rsidR="00CA3FC9" w:rsidRPr="00E056AE">
        <w:rPr>
          <w:rFonts w:asciiTheme="minorHAnsi" w:hAnsiTheme="minorHAnsi" w:cstheme="minorHAnsi"/>
          <w:i w:val="0"/>
          <w:sz w:val="22"/>
          <w:szCs w:val="22"/>
        </w:rPr>
        <w:t xml:space="preserve">The consent form, also, will be available in </w:t>
      </w:r>
      <w:r w:rsidR="00E85EDF" w:rsidRPr="00E056AE">
        <w:rPr>
          <w:rFonts w:asciiTheme="minorHAnsi" w:hAnsiTheme="minorHAnsi" w:cstheme="minorHAnsi"/>
          <w:i w:val="0"/>
          <w:sz w:val="22"/>
          <w:szCs w:val="22"/>
        </w:rPr>
        <w:t>the dominant</w:t>
      </w:r>
      <w:r w:rsidR="00CA3FC9" w:rsidRPr="00E056AE">
        <w:rPr>
          <w:rFonts w:asciiTheme="minorHAnsi" w:hAnsiTheme="minorHAnsi" w:cstheme="minorHAnsi"/>
          <w:i w:val="0"/>
          <w:sz w:val="22"/>
          <w:szCs w:val="22"/>
        </w:rPr>
        <w:t xml:space="preserve"> local languages and </w:t>
      </w:r>
      <w:r w:rsidR="00E85EDF" w:rsidRPr="00E056AE">
        <w:rPr>
          <w:rFonts w:asciiTheme="minorHAnsi" w:hAnsiTheme="minorHAnsi" w:cstheme="minorHAnsi"/>
          <w:i w:val="0"/>
          <w:sz w:val="22"/>
          <w:szCs w:val="22"/>
        </w:rPr>
        <w:t>an interpreter provided</w:t>
      </w:r>
      <w:r w:rsidR="00CA3FC9" w:rsidRPr="00E056AE">
        <w:rPr>
          <w:rFonts w:asciiTheme="minorHAnsi" w:hAnsiTheme="minorHAnsi" w:cstheme="minorHAnsi"/>
          <w:i w:val="0"/>
          <w:sz w:val="22"/>
          <w:szCs w:val="22"/>
        </w:rPr>
        <w:t xml:space="preserve"> where</w:t>
      </w:r>
      <w:r w:rsidR="00E85EDF" w:rsidRPr="00E056AE">
        <w:rPr>
          <w:rFonts w:asciiTheme="minorHAnsi" w:hAnsiTheme="minorHAnsi" w:cstheme="minorHAnsi"/>
          <w:i w:val="0"/>
          <w:sz w:val="22"/>
          <w:szCs w:val="22"/>
        </w:rPr>
        <w:t xml:space="preserve"> preferre</w:t>
      </w:r>
      <w:r w:rsidR="00CA3FC9" w:rsidRPr="00E056AE">
        <w:rPr>
          <w:rFonts w:asciiTheme="minorHAnsi" w:hAnsiTheme="minorHAnsi" w:cstheme="minorHAnsi"/>
          <w:i w:val="0"/>
          <w:sz w:val="22"/>
          <w:szCs w:val="22"/>
        </w:rPr>
        <w:t xml:space="preserve">d. </w:t>
      </w:r>
    </w:p>
    <w:p w14:paraId="4AEFF39D" w14:textId="3036C146" w:rsidR="00475FDA" w:rsidRPr="00E056AE" w:rsidRDefault="003E705A" w:rsidP="000B2C52">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At all points during the consent process</w:t>
      </w:r>
      <w:r w:rsidR="00E85EDF" w:rsidRPr="00E056AE">
        <w:rPr>
          <w:rFonts w:asciiTheme="minorHAnsi" w:hAnsiTheme="minorHAnsi" w:cstheme="minorHAnsi"/>
          <w:i w:val="0"/>
          <w:sz w:val="22"/>
          <w:szCs w:val="22"/>
        </w:rPr>
        <w:t>,</w:t>
      </w:r>
      <w:r w:rsidRPr="00E056AE">
        <w:rPr>
          <w:rFonts w:asciiTheme="minorHAnsi" w:hAnsiTheme="minorHAnsi" w:cstheme="minorHAnsi"/>
          <w:i w:val="0"/>
          <w:sz w:val="22"/>
          <w:szCs w:val="22"/>
        </w:rPr>
        <w:t xml:space="preserve"> the members of the research team will be considering the capacity of individuals to consent</w:t>
      </w:r>
      <w:r w:rsidR="004642AC" w:rsidRPr="00E056AE">
        <w:rPr>
          <w:rFonts w:asciiTheme="minorHAnsi" w:hAnsiTheme="minorHAnsi" w:cstheme="minorHAnsi"/>
          <w:i w:val="0"/>
          <w:sz w:val="22"/>
          <w:szCs w:val="22"/>
        </w:rPr>
        <w:t xml:space="preserve"> in line with the mental capacity act framework</w:t>
      </w:r>
      <w:r w:rsidRPr="00E056AE">
        <w:rPr>
          <w:rFonts w:asciiTheme="minorHAnsi" w:hAnsiTheme="minorHAnsi" w:cstheme="minorHAnsi"/>
          <w:i w:val="0"/>
          <w:sz w:val="22"/>
          <w:szCs w:val="22"/>
        </w:rPr>
        <w:t xml:space="preserve">. The gap between </w:t>
      </w:r>
      <w:r w:rsidR="00E1725C" w:rsidRPr="00E056AE">
        <w:rPr>
          <w:rFonts w:asciiTheme="minorHAnsi" w:hAnsiTheme="minorHAnsi" w:cstheme="minorHAnsi"/>
          <w:i w:val="0"/>
          <w:sz w:val="22"/>
          <w:szCs w:val="22"/>
        </w:rPr>
        <w:t xml:space="preserve">potential participants being approached by a clinician, and meeting with the researcher </w:t>
      </w:r>
      <w:r w:rsidRPr="00E056AE">
        <w:rPr>
          <w:rFonts w:asciiTheme="minorHAnsi" w:hAnsiTheme="minorHAnsi" w:cstheme="minorHAnsi"/>
          <w:i w:val="0"/>
          <w:sz w:val="22"/>
          <w:szCs w:val="22"/>
        </w:rPr>
        <w:t xml:space="preserve">and </w:t>
      </w:r>
      <w:r w:rsidR="00E1725C" w:rsidRPr="00E056AE">
        <w:rPr>
          <w:rFonts w:asciiTheme="minorHAnsi" w:hAnsiTheme="minorHAnsi" w:cstheme="minorHAnsi"/>
          <w:i w:val="0"/>
          <w:sz w:val="22"/>
          <w:szCs w:val="22"/>
        </w:rPr>
        <w:t xml:space="preserve">providing </w:t>
      </w:r>
      <w:r w:rsidRPr="00E056AE">
        <w:rPr>
          <w:rFonts w:asciiTheme="minorHAnsi" w:hAnsiTheme="minorHAnsi" w:cstheme="minorHAnsi"/>
          <w:i w:val="0"/>
          <w:sz w:val="22"/>
          <w:szCs w:val="22"/>
        </w:rPr>
        <w:t>fully informed consent will also allow us to check understanding, retention of information, and allow participants to withdraw between meetings (thus demonstrating their free choice to participate if returning</w:t>
      </w:r>
      <w:r w:rsidR="00E1725C" w:rsidRPr="00E056AE">
        <w:rPr>
          <w:rFonts w:asciiTheme="minorHAnsi" w:hAnsiTheme="minorHAnsi" w:cstheme="minorHAnsi"/>
          <w:i w:val="0"/>
          <w:sz w:val="22"/>
          <w:szCs w:val="22"/>
        </w:rPr>
        <w:t xml:space="preserve"> and affirming they wish the meeting with our researcher to go ahead</w:t>
      </w:r>
      <w:r w:rsidRPr="00E056AE">
        <w:rPr>
          <w:rFonts w:asciiTheme="minorHAnsi" w:hAnsiTheme="minorHAnsi" w:cstheme="minorHAnsi"/>
          <w:i w:val="0"/>
          <w:sz w:val="22"/>
          <w:szCs w:val="22"/>
        </w:rPr>
        <w:t>).</w:t>
      </w:r>
      <w:r w:rsidR="00105CD7" w:rsidRPr="00E056AE" w:rsidDel="00105CD7">
        <w:rPr>
          <w:rFonts w:asciiTheme="minorHAnsi" w:hAnsiTheme="minorHAnsi" w:cstheme="minorHAnsi"/>
          <w:i w:val="0"/>
          <w:sz w:val="22"/>
          <w:szCs w:val="22"/>
        </w:rPr>
        <w:t xml:space="preserve"> </w:t>
      </w:r>
    </w:p>
    <w:p w14:paraId="2EEAF8C4" w14:textId="77777777" w:rsidR="007B196E" w:rsidRPr="00E056AE" w:rsidRDefault="007B196E" w:rsidP="007B196E">
      <w:pPr>
        <w:pStyle w:val="BodyText"/>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lastRenderedPageBreak/>
        <w:t>Consent for health-service providers</w:t>
      </w:r>
    </w:p>
    <w:p w14:paraId="07565039" w14:textId="77777777" w:rsidR="007B196E" w:rsidRPr="00E056AE" w:rsidRDefault="007B196E" w:rsidP="007B196E">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Potential health-service provider participants will be approached by a member of the research team through staff meetings at the named hospital sites and further contact facilitated by lead clinicians/points of contact at these sites, directing potential participants to the study and providing contact details for the research team where necessary. In the first instance, our researchers will discuss the study with potential participants individually and/or collectively, aided by PIS for each potential participant. Our researcher will answer any questions or queries the potential participants have regarding the study during this initial contact. We will then liaise with the clinical team to arrange a date and time for the focus group and ask for members of the team on site to delineate this information and ask those interested to email a member of the research team to confirm they would like to attend. We will also provide contact details for a member of the research team on the PIS and ask those interested in participating in a one-to-one interview (if preferred to the focus group) to contact the research team directly.</w:t>
      </w:r>
    </w:p>
    <w:p w14:paraId="15504618" w14:textId="4C61A84A" w:rsidR="007B196E" w:rsidRPr="00E056AE" w:rsidRDefault="007B196E" w:rsidP="007B196E">
      <w:pPr>
        <w:pStyle w:val="BodyText"/>
        <w:spacing w:after="120"/>
        <w:rPr>
          <w:rFonts w:asciiTheme="minorHAnsi" w:hAnsiTheme="minorHAnsi" w:cstheme="minorHAnsi"/>
          <w:i w:val="0"/>
          <w:sz w:val="22"/>
          <w:szCs w:val="22"/>
        </w:rPr>
      </w:pPr>
      <w:r w:rsidRPr="00E056AE">
        <w:rPr>
          <w:rFonts w:asciiTheme="minorHAnsi" w:hAnsiTheme="minorHAnsi" w:cstheme="minorHAnsi"/>
          <w:i w:val="0"/>
          <w:sz w:val="22"/>
          <w:szCs w:val="22"/>
        </w:rPr>
        <w:t>At the beginning of the focus group or interviews, the member of our research team responsible for the session will provide a PIS to each potential participant. The researcher will go through a similar process to the initial contact, by explaining the purpose of the research, the potential benefits and risks and by answering any questions potential participants may have. If the potential health-service provider participants confirm their understanding and desire to participate in the study, they will be asked to sign a consent form. This is the point at which we will consider we have acquired fully informed consent. It will be explicitly stated that their signing of the consent form at no point supersedes their right to withdraw from the study.</w:t>
      </w:r>
    </w:p>
    <w:p w14:paraId="2DDBA0D9" w14:textId="77777777" w:rsidR="006D53CB" w:rsidRPr="00ED7841" w:rsidRDefault="006D53CB" w:rsidP="006D53CB">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*Amendment to processes due to covid-19</w:t>
      </w:r>
    </w:p>
    <w:p w14:paraId="73EC0469" w14:textId="70FC7650" w:rsidR="00FE0431" w:rsidRPr="00E056AE" w:rsidRDefault="006D53CB" w:rsidP="000B2C52">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Where phone interviews are being carried out with health-service providers we will email PIS and consent forms in advance and discuss any questions they have over the phone/email prior to the interview. If the participant is happy</w:t>
      </w:r>
      <w:r w:rsidR="002F1730" w:rsidRPr="00ED7841">
        <w:rPr>
          <w:rFonts w:asciiTheme="minorHAnsi" w:hAnsiTheme="minorHAnsi" w:cstheme="minorHAnsi"/>
          <w:i w:val="0"/>
          <w:sz w:val="22"/>
          <w:szCs w:val="22"/>
        </w:rPr>
        <w:t xml:space="preserve"> to participate we would set a date for the interview and</w:t>
      </w:r>
      <w:r w:rsidRPr="00ED7841">
        <w:rPr>
          <w:rFonts w:asciiTheme="minorHAnsi" w:hAnsiTheme="minorHAnsi" w:cstheme="minorHAnsi"/>
          <w:i w:val="0"/>
          <w:sz w:val="22"/>
          <w:szCs w:val="22"/>
        </w:rPr>
        <w:t xml:space="preserve"> we would ask them to sign and email back the consent form</w:t>
      </w:r>
      <w:r w:rsidR="00382BDE" w:rsidRPr="00ED7841">
        <w:rPr>
          <w:rFonts w:asciiTheme="minorHAnsi" w:hAnsiTheme="minorHAnsi" w:cstheme="minorHAnsi"/>
          <w:i w:val="0"/>
          <w:sz w:val="22"/>
          <w:szCs w:val="22"/>
        </w:rPr>
        <w:t xml:space="preserve"> before </w:t>
      </w:r>
      <w:r w:rsidR="002F1730" w:rsidRPr="00ED7841">
        <w:rPr>
          <w:rFonts w:asciiTheme="minorHAnsi" w:hAnsiTheme="minorHAnsi" w:cstheme="minorHAnsi"/>
          <w:i w:val="0"/>
          <w:sz w:val="22"/>
          <w:szCs w:val="22"/>
        </w:rPr>
        <w:t>the</w:t>
      </w:r>
      <w:r w:rsidR="00382BDE" w:rsidRPr="00ED7841">
        <w:rPr>
          <w:rFonts w:asciiTheme="minorHAnsi" w:hAnsiTheme="minorHAnsi" w:cstheme="minorHAnsi"/>
          <w:i w:val="0"/>
          <w:sz w:val="22"/>
          <w:szCs w:val="22"/>
        </w:rPr>
        <w:t xml:space="preserve"> interview</w:t>
      </w:r>
      <w:r w:rsidR="002F1730" w:rsidRPr="00ED7841">
        <w:rPr>
          <w:rFonts w:asciiTheme="minorHAnsi" w:hAnsiTheme="minorHAnsi" w:cstheme="minorHAnsi"/>
          <w:i w:val="0"/>
          <w:sz w:val="22"/>
          <w:szCs w:val="22"/>
        </w:rPr>
        <w:t xml:space="preserve"> session</w:t>
      </w:r>
      <w:r w:rsidR="00382BDE" w:rsidRPr="00ED7841">
        <w:rPr>
          <w:rFonts w:asciiTheme="minorHAnsi" w:hAnsiTheme="minorHAnsi" w:cstheme="minorHAnsi"/>
          <w:i w:val="0"/>
          <w:sz w:val="22"/>
          <w:szCs w:val="22"/>
        </w:rPr>
        <w:t xml:space="preserve">. </w:t>
      </w:r>
      <w:r w:rsidR="00AC2AE9" w:rsidRPr="00ED7841">
        <w:rPr>
          <w:rFonts w:asciiTheme="minorHAnsi" w:hAnsiTheme="minorHAnsi" w:cstheme="minorHAnsi"/>
          <w:i w:val="0"/>
          <w:sz w:val="22"/>
          <w:szCs w:val="22"/>
        </w:rPr>
        <w:t>Interviewer will then re-confirm consent at the start of the interview and countersign the consent form. A copy of the completed form will be provided to the staff member.</w:t>
      </w:r>
    </w:p>
    <w:p w14:paraId="78B84C70" w14:textId="3C8D4A41" w:rsidR="00FE0431" w:rsidRPr="00ED7841" w:rsidRDefault="00FE0431" w:rsidP="000B2C52">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 xml:space="preserve">*Phone Interview and consent </w:t>
      </w:r>
      <w:r w:rsidR="00A22F63" w:rsidRPr="00ED7841">
        <w:rPr>
          <w:rFonts w:asciiTheme="minorHAnsi" w:hAnsiTheme="minorHAnsi" w:cstheme="minorHAnsi"/>
          <w:i w:val="0"/>
          <w:sz w:val="22"/>
          <w:szCs w:val="22"/>
        </w:rPr>
        <w:t xml:space="preserve">with patients - </w:t>
      </w:r>
      <w:r w:rsidRPr="00ED7841">
        <w:rPr>
          <w:rFonts w:asciiTheme="minorHAnsi" w:hAnsiTheme="minorHAnsi" w:cstheme="minorHAnsi"/>
          <w:i w:val="0"/>
          <w:sz w:val="22"/>
          <w:szCs w:val="22"/>
        </w:rPr>
        <w:t>amendment due to Covid-19</w:t>
      </w:r>
    </w:p>
    <w:p w14:paraId="743CB7F4" w14:textId="47991ADD" w:rsidR="00143E43" w:rsidRPr="00ED7841" w:rsidRDefault="00FE0431" w:rsidP="000B2C52">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 xml:space="preserve">In light of the impact of Covid-19 we will use audio-recorded interviews </w:t>
      </w:r>
      <w:r w:rsidR="00A22F63" w:rsidRPr="00ED7841">
        <w:rPr>
          <w:rFonts w:asciiTheme="minorHAnsi" w:hAnsiTheme="minorHAnsi" w:cstheme="minorHAnsi"/>
          <w:i w:val="0"/>
          <w:sz w:val="22"/>
          <w:szCs w:val="22"/>
        </w:rPr>
        <w:t xml:space="preserve">with audio-recorded </w:t>
      </w:r>
      <w:r w:rsidRPr="00ED7841">
        <w:rPr>
          <w:rFonts w:asciiTheme="minorHAnsi" w:hAnsiTheme="minorHAnsi" w:cstheme="minorHAnsi"/>
          <w:i w:val="0"/>
          <w:sz w:val="22"/>
          <w:szCs w:val="22"/>
        </w:rPr>
        <w:t xml:space="preserve">oral consent as </w:t>
      </w:r>
      <w:r w:rsidR="004153D2" w:rsidRPr="00ED7841">
        <w:rPr>
          <w:rFonts w:asciiTheme="minorHAnsi" w:hAnsiTheme="minorHAnsi" w:cstheme="minorHAnsi"/>
          <w:i w:val="0"/>
          <w:sz w:val="22"/>
          <w:szCs w:val="22"/>
        </w:rPr>
        <w:t xml:space="preserve">an adapted means </w:t>
      </w:r>
      <w:r w:rsidRPr="00ED7841">
        <w:rPr>
          <w:rFonts w:asciiTheme="minorHAnsi" w:hAnsiTheme="minorHAnsi" w:cstheme="minorHAnsi"/>
          <w:i w:val="0"/>
          <w:sz w:val="22"/>
          <w:szCs w:val="22"/>
        </w:rPr>
        <w:t>of documenting consent with patients where we cannot follow the processes outlined above (In particular, for patients not currently attending in-person clinics)</w:t>
      </w:r>
      <w:r w:rsidR="004153D2" w:rsidRPr="00ED7841">
        <w:rPr>
          <w:rFonts w:asciiTheme="minorHAnsi" w:hAnsiTheme="minorHAnsi" w:cstheme="minorHAnsi"/>
          <w:i w:val="0"/>
          <w:sz w:val="22"/>
          <w:szCs w:val="22"/>
        </w:rPr>
        <w:t>.</w:t>
      </w:r>
      <w:r w:rsidR="007B196E" w:rsidRPr="00ED7841">
        <w:rPr>
          <w:rFonts w:asciiTheme="minorHAnsi" w:hAnsiTheme="minorHAnsi" w:cstheme="minorHAnsi"/>
          <w:i w:val="0"/>
          <w:sz w:val="22"/>
          <w:szCs w:val="22"/>
        </w:rPr>
        <w:t>Where necessary an interpreter will be utilised using three-way mobile conference calling.</w:t>
      </w:r>
      <w:r w:rsidR="004153D2" w:rsidRPr="00ED7841">
        <w:rPr>
          <w:rFonts w:asciiTheme="minorHAnsi" w:hAnsiTheme="minorHAnsi" w:cstheme="minorHAnsi"/>
          <w:i w:val="0"/>
          <w:sz w:val="22"/>
          <w:szCs w:val="22"/>
        </w:rPr>
        <w:t xml:space="preserve"> </w:t>
      </w:r>
    </w:p>
    <w:p w14:paraId="390E9D9E" w14:textId="54547854" w:rsidR="00A22F63" w:rsidRPr="00ED7841" w:rsidRDefault="004153D2" w:rsidP="000B2C52">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 xml:space="preserve">As normal, clinicians will make the initial approach to patients (in this case over the phone), </w:t>
      </w:r>
      <w:r w:rsidR="00F10E7F" w:rsidRPr="00ED7841">
        <w:rPr>
          <w:rFonts w:asciiTheme="minorHAnsi" w:hAnsiTheme="minorHAnsi" w:cstheme="minorHAnsi"/>
          <w:i w:val="0"/>
          <w:sz w:val="22"/>
          <w:szCs w:val="22"/>
        </w:rPr>
        <w:t>and where patients indicate they are interested in taking part</w:t>
      </w:r>
      <w:r w:rsidRPr="00ED7841">
        <w:rPr>
          <w:rFonts w:asciiTheme="minorHAnsi" w:hAnsiTheme="minorHAnsi" w:cstheme="minorHAnsi"/>
          <w:i w:val="0"/>
          <w:sz w:val="22"/>
          <w:szCs w:val="22"/>
        </w:rPr>
        <w:t>, a time will be agreed for a member of the research team to contact them to explain the study fully.</w:t>
      </w:r>
      <w:r w:rsidR="00A22F63" w:rsidRPr="00ED7841">
        <w:rPr>
          <w:rFonts w:asciiTheme="minorHAnsi" w:hAnsiTheme="minorHAnsi" w:cstheme="minorHAnsi"/>
          <w:i w:val="0"/>
          <w:sz w:val="22"/>
          <w:szCs w:val="22"/>
        </w:rPr>
        <w:t xml:space="preserve"> A PIS and consent form will be mailed to the participant (email or physically</w:t>
      </w:r>
      <w:r w:rsidR="007B196E" w:rsidRPr="00ED7841">
        <w:rPr>
          <w:rFonts w:asciiTheme="minorHAnsi" w:hAnsiTheme="minorHAnsi" w:cstheme="minorHAnsi"/>
          <w:i w:val="0"/>
          <w:sz w:val="22"/>
          <w:szCs w:val="22"/>
        </w:rPr>
        <w:t>)</w:t>
      </w:r>
      <w:r w:rsidRPr="00ED7841">
        <w:rPr>
          <w:rFonts w:asciiTheme="minorHAnsi" w:hAnsiTheme="minorHAnsi" w:cstheme="minorHAnsi"/>
          <w:i w:val="0"/>
          <w:sz w:val="22"/>
          <w:szCs w:val="22"/>
        </w:rPr>
        <w:t>When the researcher contacts the patient</w:t>
      </w:r>
      <w:r w:rsidR="00A22F63" w:rsidRPr="00ED7841">
        <w:rPr>
          <w:rFonts w:asciiTheme="minorHAnsi" w:hAnsiTheme="minorHAnsi" w:cstheme="minorHAnsi"/>
          <w:i w:val="0"/>
          <w:sz w:val="22"/>
          <w:szCs w:val="22"/>
        </w:rPr>
        <w:t xml:space="preserve"> </w:t>
      </w:r>
      <w:r w:rsidRPr="00ED7841">
        <w:rPr>
          <w:rFonts w:asciiTheme="minorHAnsi" w:hAnsiTheme="minorHAnsi" w:cstheme="minorHAnsi"/>
          <w:i w:val="0"/>
          <w:sz w:val="22"/>
          <w:szCs w:val="22"/>
        </w:rPr>
        <w:t xml:space="preserve">they will answer any questions the patient has, and where they agree to take part, a time most convenient for the patient to take part in the interview will be set. </w:t>
      </w:r>
    </w:p>
    <w:p w14:paraId="0B7AC2DC" w14:textId="76776C8F" w:rsidR="00FE0431" w:rsidRPr="00E056AE" w:rsidRDefault="00F10E7F" w:rsidP="000B2C52">
      <w:pPr>
        <w:pStyle w:val="BodyText"/>
        <w:spacing w:after="120"/>
        <w:rPr>
          <w:rFonts w:asciiTheme="minorHAnsi" w:hAnsiTheme="minorHAnsi" w:cstheme="minorHAnsi"/>
          <w:i w:val="0"/>
          <w:sz w:val="22"/>
          <w:szCs w:val="22"/>
        </w:rPr>
      </w:pPr>
      <w:r w:rsidRPr="00ED7841">
        <w:rPr>
          <w:rFonts w:asciiTheme="minorHAnsi" w:hAnsiTheme="minorHAnsi" w:cstheme="minorHAnsi"/>
          <w:i w:val="0"/>
          <w:sz w:val="22"/>
          <w:szCs w:val="22"/>
        </w:rPr>
        <w:t>At the beginning of the</w:t>
      </w:r>
      <w:r w:rsidR="00143E43" w:rsidRPr="00ED7841">
        <w:rPr>
          <w:rFonts w:asciiTheme="minorHAnsi" w:hAnsiTheme="minorHAnsi" w:cstheme="minorHAnsi"/>
          <w:i w:val="0"/>
          <w:sz w:val="22"/>
          <w:szCs w:val="22"/>
        </w:rPr>
        <w:t xml:space="preserve"> phone interview proper, the consent form will be read to the patient and their responses </w:t>
      </w:r>
      <w:proofErr w:type="gramStart"/>
      <w:r w:rsidR="00143E43" w:rsidRPr="00ED7841">
        <w:rPr>
          <w:rFonts w:asciiTheme="minorHAnsi" w:hAnsiTheme="minorHAnsi" w:cstheme="minorHAnsi"/>
          <w:i w:val="0"/>
          <w:sz w:val="22"/>
          <w:szCs w:val="22"/>
        </w:rPr>
        <w:t>audio-recorded</w:t>
      </w:r>
      <w:proofErr w:type="gramEnd"/>
      <w:r w:rsidR="007B196E" w:rsidRPr="00ED7841">
        <w:rPr>
          <w:rFonts w:asciiTheme="minorHAnsi" w:hAnsiTheme="minorHAnsi" w:cstheme="minorHAnsi"/>
          <w:i w:val="0"/>
          <w:sz w:val="22"/>
          <w:szCs w:val="22"/>
        </w:rPr>
        <w:t>.</w:t>
      </w:r>
      <w:r w:rsidR="00636129" w:rsidRPr="00ED7841">
        <w:rPr>
          <w:rFonts w:asciiTheme="minorHAnsi" w:hAnsiTheme="minorHAnsi" w:cstheme="minorHAnsi"/>
          <w:i w:val="0"/>
          <w:sz w:val="22"/>
          <w:szCs w:val="22"/>
        </w:rPr>
        <w:t xml:space="preserve"> </w:t>
      </w:r>
      <w:r w:rsidR="007B196E" w:rsidRPr="00ED7841">
        <w:rPr>
          <w:rFonts w:asciiTheme="minorHAnsi" w:hAnsiTheme="minorHAnsi" w:cstheme="minorHAnsi"/>
          <w:i w:val="0"/>
          <w:sz w:val="22"/>
          <w:szCs w:val="22"/>
        </w:rPr>
        <w:t xml:space="preserve">The phone interview would then take place as </w:t>
      </w:r>
      <w:r w:rsidR="00636129" w:rsidRPr="00ED7841">
        <w:rPr>
          <w:rFonts w:asciiTheme="minorHAnsi" w:hAnsiTheme="minorHAnsi" w:cstheme="minorHAnsi"/>
          <w:i w:val="0"/>
          <w:sz w:val="22"/>
          <w:szCs w:val="22"/>
        </w:rPr>
        <w:t>normal. A</w:t>
      </w:r>
      <w:r w:rsidR="00143E43" w:rsidRPr="00ED7841">
        <w:rPr>
          <w:rFonts w:asciiTheme="minorHAnsi" w:hAnsiTheme="minorHAnsi" w:cstheme="minorHAnsi"/>
          <w:i w:val="0"/>
          <w:sz w:val="22"/>
          <w:szCs w:val="22"/>
        </w:rPr>
        <w:t xml:space="preserve"> duplicate of</w:t>
      </w:r>
      <w:r w:rsidR="00A22F63" w:rsidRPr="00ED7841">
        <w:rPr>
          <w:rFonts w:asciiTheme="minorHAnsi" w:hAnsiTheme="minorHAnsi" w:cstheme="minorHAnsi"/>
          <w:i w:val="0"/>
          <w:sz w:val="22"/>
          <w:szCs w:val="22"/>
        </w:rPr>
        <w:t xml:space="preserve"> the audio-recording will be made after the interview but redacting any identifying information and the consent of the patient at the beginning of the recording. This redacted audio file will be transcribed and analysed, whilst the </w:t>
      </w:r>
      <w:r w:rsidR="006D53CB" w:rsidRPr="00ED7841">
        <w:rPr>
          <w:rFonts w:asciiTheme="minorHAnsi" w:hAnsiTheme="minorHAnsi" w:cstheme="minorHAnsi"/>
          <w:i w:val="0"/>
          <w:sz w:val="22"/>
          <w:szCs w:val="22"/>
        </w:rPr>
        <w:t xml:space="preserve">original unedited audio file </w:t>
      </w:r>
      <w:r w:rsidR="00A22F63" w:rsidRPr="00ED7841">
        <w:rPr>
          <w:rFonts w:asciiTheme="minorHAnsi" w:hAnsiTheme="minorHAnsi" w:cstheme="minorHAnsi"/>
          <w:i w:val="0"/>
          <w:sz w:val="22"/>
          <w:szCs w:val="22"/>
        </w:rPr>
        <w:t xml:space="preserve">will form part of the record of consent. All digital files will be securely stored and handled as outlined in further sections of this document. </w:t>
      </w:r>
    </w:p>
    <w:p w14:paraId="217E569D" w14:textId="06CD8075" w:rsidR="007B196E" w:rsidRPr="00E056AE" w:rsidRDefault="007B196E" w:rsidP="000B2C52">
      <w:pPr>
        <w:pStyle w:val="BodyText"/>
        <w:spacing w:after="120"/>
        <w:rPr>
          <w:rFonts w:asciiTheme="minorHAnsi" w:hAnsiTheme="minorHAnsi" w:cstheme="minorHAnsi"/>
          <w:i w:val="0"/>
          <w:sz w:val="22"/>
          <w:szCs w:val="22"/>
        </w:rPr>
      </w:pPr>
    </w:p>
    <w:p w14:paraId="14C5BD8E" w14:textId="27F4FFC5" w:rsidR="007B196E" w:rsidRPr="00E056AE" w:rsidRDefault="007B196E" w:rsidP="000B2C52">
      <w:pPr>
        <w:pStyle w:val="BodyText"/>
        <w:spacing w:after="120"/>
        <w:rPr>
          <w:rFonts w:asciiTheme="minorHAnsi" w:hAnsiTheme="minorHAnsi" w:cstheme="minorHAnsi"/>
          <w:i w:val="0"/>
          <w:sz w:val="22"/>
          <w:szCs w:val="22"/>
        </w:rPr>
      </w:pPr>
    </w:p>
    <w:p w14:paraId="73EB19B1" w14:textId="77777777" w:rsidR="00FE0431" w:rsidRPr="00E056AE" w:rsidRDefault="00FE0431" w:rsidP="000B2C52">
      <w:pPr>
        <w:pStyle w:val="BodyText"/>
        <w:spacing w:after="120"/>
        <w:rPr>
          <w:rFonts w:asciiTheme="minorHAnsi" w:hAnsiTheme="minorHAnsi" w:cstheme="minorHAnsi"/>
          <w:i w:val="0"/>
          <w:sz w:val="22"/>
          <w:szCs w:val="22"/>
        </w:rPr>
      </w:pPr>
    </w:p>
    <w:p w14:paraId="27B7B52F" w14:textId="4AFA8486" w:rsidR="00E1725C" w:rsidRPr="00E056AE" w:rsidRDefault="00E1725C" w:rsidP="000B2C52">
      <w:pPr>
        <w:pStyle w:val="BodyText"/>
        <w:spacing w:after="120"/>
        <w:rPr>
          <w:rFonts w:asciiTheme="minorHAnsi" w:hAnsiTheme="minorHAnsi" w:cstheme="minorHAnsi"/>
          <w:i w:val="0"/>
          <w:sz w:val="22"/>
          <w:szCs w:val="22"/>
        </w:rPr>
      </w:pPr>
    </w:p>
    <w:p w14:paraId="057B8FE0" w14:textId="32519C0D" w:rsidR="00633E19" w:rsidRPr="00E056AE" w:rsidRDefault="00633E19" w:rsidP="000B2C52">
      <w:pPr>
        <w:pStyle w:val="BodyText"/>
        <w:spacing w:after="120"/>
        <w:rPr>
          <w:rFonts w:asciiTheme="minorHAnsi" w:hAnsiTheme="minorHAnsi" w:cstheme="minorHAnsi"/>
          <w:i w:val="0"/>
          <w:sz w:val="22"/>
          <w:szCs w:val="22"/>
        </w:rPr>
      </w:pPr>
    </w:p>
    <w:p w14:paraId="4B60426D" w14:textId="46E13A85" w:rsidR="007B196E" w:rsidRPr="00E056AE" w:rsidRDefault="007B196E" w:rsidP="000B2C52">
      <w:pPr>
        <w:pStyle w:val="BodyText"/>
        <w:spacing w:after="120"/>
        <w:rPr>
          <w:rFonts w:asciiTheme="minorHAnsi" w:hAnsiTheme="minorHAnsi" w:cstheme="minorHAnsi"/>
          <w:i w:val="0"/>
          <w:sz w:val="22"/>
          <w:szCs w:val="22"/>
        </w:rPr>
      </w:pPr>
    </w:p>
    <w:p w14:paraId="498EE1DF" w14:textId="77777777" w:rsidR="007B196E" w:rsidRPr="00E056AE" w:rsidRDefault="007B196E" w:rsidP="000B2C52">
      <w:pPr>
        <w:pStyle w:val="BodyText"/>
        <w:spacing w:after="120"/>
        <w:rPr>
          <w:rFonts w:asciiTheme="minorHAnsi" w:hAnsiTheme="minorHAnsi" w:cstheme="minorHAnsi"/>
          <w:i w:val="0"/>
          <w:sz w:val="22"/>
          <w:szCs w:val="22"/>
        </w:rPr>
      </w:pPr>
    </w:p>
    <w:p w14:paraId="21F1519E" w14:textId="62D1EA36" w:rsidR="00441AFA" w:rsidRPr="00E056AE" w:rsidRDefault="00997241" w:rsidP="000B2C52">
      <w:pPr>
        <w:pStyle w:val="Heading1"/>
        <w:spacing w:before="0" w:after="120"/>
        <w:rPr>
          <w:rFonts w:asciiTheme="minorHAnsi" w:hAnsiTheme="minorHAnsi" w:cstheme="minorHAnsi"/>
          <w:color w:val="auto"/>
          <w:sz w:val="22"/>
          <w:szCs w:val="22"/>
        </w:rPr>
      </w:pPr>
      <w:r w:rsidRPr="00E056AE">
        <w:rPr>
          <w:rFonts w:asciiTheme="minorHAnsi" w:hAnsiTheme="minorHAnsi" w:cstheme="minorHAnsi"/>
          <w:color w:val="auto"/>
          <w:sz w:val="22"/>
          <w:szCs w:val="22"/>
        </w:rPr>
        <w:t>8</w:t>
      </w:r>
      <w:r w:rsidR="00D027C8" w:rsidRPr="00E056AE">
        <w:rPr>
          <w:rFonts w:asciiTheme="minorHAnsi" w:hAnsiTheme="minorHAnsi" w:cstheme="minorHAnsi"/>
          <w:color w:val="auto"/>
          <w:sz w:val="22"/>
          <w:szCs w:val="22"/>
        </w:rPr>
        <w:tab/>
      </w:r>
      <w:r w:rsidR="00475FDA" w:rsidRPr="00E056AE">
        <w:rPr>
          <w:rFonts w:asciiTheme="minorHAnsi" w:hAnsiTheme="minorHAnsi" w:cstheme="minorHAnsi"/>
          <w:color w:val="auto"/>
          <w:sz w:val="22"/>
          <w:szCs w:val="22"/>
        </w:rPr>
        <w:t>ETHICAL AND REGULATORY CONSIDERATIONS</w:t>
      </w:r>
    </w:p>
    <w:p w14:paraId="48349032" w14:textId="49B96245" w:rsidR="00AF1D40" w:rsidRPr="00E056AE" w:rsidRDefault="00997241" w:rsidP="00AF1D40">
      <w:pPr>
        <w:pStyle w:val="Heading2"/>
        <w:spacing w:before="0" w:after="120" w:line="240" w:lineRule="auto"/>
        <w:rPr>
          <w:rFonts w:asciiTheme="minorHAnsi" w:hAnsiTheme="minorHAnsi" w:cstheme="minorHAnsi"/>
          <w:b/>
          <w:color w:val="auto"/>
          <w:sz w:val="22"/>
          <w:szCs w:val="22"/>
        </w:rPr>
      </w:pPr>
      <w:r w:rsidRPr="00E056AE">
        <w:rPr>
          <w:rFonts w:asciiTheme="minorHAnsi" w:eastAsiaTheme="majorEastAsia" w:hAnsiTheme="minorHAnsi" w:cstheme="minorHAnsi"/>
          <w:b/>
          <w:iCs w:val="0"/>
          <w:color w:val="auto"/>
          <w:sz w:val="22"/>
          <w:szCs w:val="22"/>
        </w:rPr>
        <w:t>8</w:t>
      </w:r>
      <w:r w:rsidR="00C975D7" w:rsidRPr="00E056AE">
        <w:rPr>
          <w:rFonts w:asciiTheme="minorHAnsi" w:eastAsiaTheme="majorEastAsia" w:hAnsiTheme="minorHAnsi" w:cstheme="minorHAnsi"/>
          <w:b/>
          <w:iCs w:val="0"/>
          <w:color w:val="auto"/>
          <w:sz w:val="22"/>
          <w:szCs w:val="22"/>
        </w:rPr>
        <w:t>.1</w:t>
      </w:r>
      <w:r w:rsidR="00AF1D40" w:rsidRPr="00E056AE">
        <w:rPr>
          <w:rFonts w:asciiTheme="minorHAnsi" w:hAnsiTheme="minorHAnsi" w:cstheme="minorHAnsi"/>
          <w:b/>
          <w:color w:val="auto"/>
          <w:sz w:val="22"/>
          <w:szCs w:val="22"/>
        </w:rPr>
        <w:tab/>
        <w:t>Assessment and management of risk</w:t>
      </w:r>
    </w:p>
    <w:p w14:paraId="0E1A6821" w14:textId="6C6A6D45" w:rsidR="00462D04" w:rsidRPr="00E056AE" w:rsidRDefault="0023032F" w:rsidP="0023032F">
      <w:pPr>
        <w:rPr>
          <w:rFonts w:cstheme="minorHAnsi"/>
        </w:rPr>
      </w:pPr>
      <w:r w:rsidRPr="00E056AE">
        <w:rPr>
          <w:rFonts w:cstheme="minorHAnsi"/>
        </w:rPr>
        <w:t>We believe that this study is low risk, with a low impact of any risks should the</w:t>
      </w:r>
      <w:r w:rsidR="00462D04" w:rsidRPr="00E056AE">
        <w:rPr>
          <w:rFonts w:cstheme="minorHAnsi"/>
        </w:rPr>
        <w:t>se</w:t>
      </w:r>
      <w:r w:rsidRPr="00E056AE">
        <w:rPr>
          <w:rFonts w:cstheme="minorHAnsi"/>
        </w:rPr>
        <w:t xml:space="preserve"> come to pass.</w:t>
      </w:r>
      <w:r w:rsidR="008D3BA7" w:rsidRPr="00E056AE">
        <w:rPr>
          <w:rFonts w:cstheme="minorHAnsi"/>
        </w:rPr>
        <w:t xml:space="preserve">  Our research team has experience of both qualitative and cross-sectional research with both health service providers and migrant patients, and envisage no issues.</w:t>
      </w:r>
    </w:p>
    <w:p w14:paraId="1B2F8403" w14:textId="0E86CA18" w:rsidR="00462D04" w:rsidRPr="00E056AE" w:rsidRDefault="00462D04" w:rsidP="00462D04">
      <w:pPr>
        <w:pStyle w:val="ListParagraph"/>
        <w:numPr>
          <w:ilvl w:val="0"/>
          <w:numId w:val="29"/>
        </w:numPr>
        <w:rPr>
          <w:rFonts w:cstheme="minorHAnsi"/>
          <w:i/>
        </w:rPr>
      </w:pPr>
      <w:r w:rsidRPr="00E056AE">
        <w:rPr>
          <w:rFonts w:cstheme="minorHAnsi"/>
          <w:i/>
        </w:rPr>
        <w:t xml:space="preserve">Psychologically or emotionally distressing conversations. </w:t>
      </w:r>
      <w:r w:rsidRPr="00E056AE">
        <w:rPr>
          <w:rFonts w:cstheme="minorHAnsi"/>
        </w:rPr>
        <w:t xml:space="preserve">Whilst this study is not aiming to elicit any strong emotional responses, nor explore what could be classically considered acute psychologically damaging experiences (i.e. trauma, war), we do recognise the fact that exploring and discussing experiences </w:t>
      </w:r>
      <w:r w:rsidR="008D3BA7" w:rsidRPr="00E056AE">
        <w:rPr>
          <w:rFonts w:cstheme="minorHAnsi"/>
        </w:rPr>
        <w:t xml:space="preserve">around </w:t>
      </w:r>
      <w:r w:rsidRPr="00E056AE">
        <w:rPr>
          <w:rFonts w:cstheme="minorHAnsi"/>
        </w:rPr>
        <w:t xml:space="preserve">tuberculosis could touch upon what is a challenging and distressing time in participants life (particularly in relation to patients). </w:t>
      </w:r>
    </w:p>
    <w:p w14:paraId="5B3A3412" w14:textId="496E736F" w:rsidR="00383BD2" w:rsidRPr="00E056AE" w:rsidRDefault="00462D04" w:rsidP="00462D04">
      <w:pPr>
        <w:pStyle w:val="ListParagraph"/>
        <w:rPr>
          <w:rFonts w:cstheme="minorHAnsi"/>
        </w:rPr>
      </w:pPr>
      <w:r w:rsidRPr="00E056AE">
        <w:rPr>
          <w:rFonts w:cstheme="minorHAnsi"/>
        </w:rPr>
        <w:t xml:space="preserve">We aim to manage this risk through the consent process, clearly explaining to individuals what the study entails and giving ample opportunity to question the process and decline to take part if individuals wish. We also aim to make the interview process as comfortable as possible, </w:t>
      </w:r>
      <w:r w:rsidR="008D3BA7" w:rsidRPr="00E056AE">
        <w:rPr>
          <w:rFonts w:cstheme="minorHAnsi"/>
        </w:rPr>
        <w:t xml:space="preserve">and ensure participants know they may </w:t>
      </w:r>
      <w:r w:rsidR="00A46FF9" w:rsidRPr="00E056AE">
        <w:rPr>
          <w:rFonts w:cstheme="minorHAnsi"/>
        </w:rPr>
        <w:t>stop</w:t>
      </w:r>
      <w:r w:rsidR="002D0E0C" w:rsidRPr="00E056AE">
        <w:rPr>
          <w:rFonts w:cstheme="minorHAnsi"/>
        </w:rPr>
        <w:t>,</w:t>
      </w:r>
      <w:r w:rsidR="00A46FF9" w:rsidRPr="00E056AE">
        <w:rPr>
          <w:rFonts w:cstheme="minorHAnsi"/>
        </w:rPr>
        <w:t xml:space="preserve"> take a break</w:t>
      </w:r>
      <w:r w:rsidR="002D0E0C" w:rsidRPr="00E056AE">
        <w:rPr>
          <w:rFonts w:cstheme="minorHAnsi"/>
        </w:rPr>
        <w:t>,</w:t>
      </w:r>
      <w:r w:rsidR="00A46FF9" w:rsidRPr="00E056AE">
        <w:rPr>
          <w:rFonts w:cstheme="minorHAnsi"/>
        </w:rPr>
        <w:t xml:space="preserve"> or decide to </w:t>
      </w:r>
      <w:r w:rsidR="002D0E0C" w:rsidRPr="00E056AE">
        <w:rPr>
          <w:rFonts w:cstheme="minorHAnsi"/>
        </w:rPr>
        <w:t>withdraw from the interview and/or study at a</w:t>
      </w:r>
      <w:r w:rsidR="00A46FF9" w:rsidRPr="00E056AE">
        <w:rPr>
          <w:rFonts w:cstheme="minorHAnsi"/>
        </w:rPr>
        <w:t>ny point</w:t>
      </w:r>
      <w:r w:rsidRPr="00E056AE">
        <w:rPr>
          <w:rFonts w:cstheme="minorHAnsi"/>
        </w:rPr>
        <w:t xml:space="preserve">. </w:t>
      </w:r>
      <w:r w:rsidR="00A46FF9" w:rsidRPr="00E056AE">
        <w:rPr>
          <w:rFonts w:cstheme="minorHAnsi"/>
        </w:rPr>
        <w:t xml:space="preserve">The interview will always proceed at the comfort and discretion of the participant. </w:t>
      </w:r>
      <w:r w:rsidRPr="00E056AE">
        <w:rPr>
          <w:rFonts w:cstheme="minorHAnsi"/>
        </w:rPr>
        <w:t xml:space="preserve">We would also sign-post individuals to an appropriate healthcare professional who could </w:t>
      </w:r>
      <w:r w:rsidR="00A46FF9" w:rsidRPr="00E056AE">
        <w:rPr>
          <w:rFonts w:cstheme="minorHAnsi"/>
        </w:rPr>
        <w:t xml:space="preserve">provide further support </w:t>
      </w:r>
      <w:r w:rsidRPr="00E056AE">
        <w:rPr>
          <w:rFonts w:cstheme="minorHAnsi"/>
        </w:rPr>
        <w:t xml:space="preserve">if it is felt it is </w:t>
      </w:r>
      <w:r w:rsidR="00A46FF9" w:rsidRPr="00E056AE">
        <w:rPr>
          <w:rFonts w:cstheme="minorHAnsi"/>
        </w:rPr>
        <w:t>needed.</w:t>
      </w:r>
    </w:p>
    <w:p w14:paraId="3269EB3A" w14:textId="77777777" w:rsidR="002026F1" w:rsidRPr="00E056AE" w:rsidRDefault="002026F1" w:rsidP="00462D04">
      <w:pPr>
        <w:pStyle w:val="ListParagraph"/>
        <w:rPr>
          <w:rFonts w:cstheme="minorHAnsi"/>
        </w:rPr>
      </w:pPr>
    </w:p>
    <w:p w14:paraId="0ADA81C7" w14:textId="2D4F3813" w:rsidR="002026F1" w:rsidRPr="00E056AE" w:rsidRDefault="002026F1" w:rsidP="002026F1">
      <w:pPr>
        <w:pStyle w:val="ListParagraph"/>
        <w:numPr>
          <w:ilvl w:val="0"/>
          <w:numId w:val="29"/>
        </w:numPr>
        <w:rPr>
          <w:rFonts w:cstheme="minorHAnsi"/>
          <w:i/>
        </w:rPr>
      </w:pPr>
      <w:r w:rsidRPr="00E056AE">
        <w:rPr>
          <w:rFonts w:cstheme="minorHAnsi"/>
          <w:i/>
        </w:rPr>
        <w:t xml:space="preserve">Confidentiality and data protection. </w:t>
      </w:r>
      <w:r w:rsidRPr="00E056AE">
        <w:rPr>
          <w:rFonts w:cstheme="minorHAnsi"/>
        </w:rPr>
        <w:t xml:space="preserve">As with all projects of this type there are risks associated with confidentiality. To mitigate and manage this risk, we would inform and reinforce the confidential nature of the discussions with participants, and anonymisation and de-identification of all </w:t>
      </w:r>
      <w:r w:rsidR="00A46FF9" w:rsidRPr="00E056AE">
        <w:rPr>
          <w:rFonts w:cstheme="minorHAnsi"/>
        </w:rPr>
        <w:t xml:space="preserve">data </w:t>
      </w:r>
      <w:r w:rsidRPr="00E056AE">
        <w:rPr>
          <w:rFonts w:cstheme="minorHAnsi"/>
        </w:rPr>
        <w:t>in any dissemination material will be guaranteed. There are also issues of confidentiality between participants</w:t>
      </w:r>
      <w:r w:rsidR="00A46FF9" w:rsidRPr="00E056AE">
        <w:rPr>
          <w:rFonts w:cstheme="minorHAnsi"/>
        </w:rPr>
        <w:t xml:space="preserve"> in</w:t>
      </w:r>
      <w:r w:rsidRPr="00E056AE">
        <w:rPr>
          <w:rFonts w:cstheme="minorHAnsi"/>
        </w:rPr>
        <w:t xml:space="preserve"> focus groups we would hold with service providers/staff. To manage this risk, we would impress upon focus group participants the confidential nature of the discussions. Furthermore, we are also offering one-to-one interviews alongside the focus groups to manage and address the concerns of any potential participants who wouldn’t be comfortable speaking in a group setting.</w:t>
      </w:r>
    </w:p>
    <w:p w14:paraId="351E3CA2" w14:textId="42558BF1" w:rsidR="002026F1" w:rsidRPr="00E056AE" w:rsidRDefault="002026F1" w:rsidP="002026F1">
      <w:pPr>
        <w:pStyle w:val="ListParagraph"/>
        <w:rPr>
          <w:rFonts w:cstheme="minorHAnsi"/>
          <w:b/>
        </w:rPr>
      </w:pPr>
      <w:r w:rsidRPr="00E056AE">
        <w:rPr>
          <w:rFonts w:cstheme="minorHAnsi"/>
        </w:rPr>
        <w:t xml:space="preserve">Data protection issues will be managed through the ascribed plan in section </w:t>
      </w:r>
      <w:r w:rsidRPr="00E056AE">
        <w:rPr>
          <w:rFonts w:cstheme="minorHAnsi"/>
          <w:i/>
        </w:rPr>
        <w:t xml:space="preserve">8.6. </w:t>
      </w:r>
      <w:r w:rsidRPr="00E056AE">
        <w:rPr>
          <w:rFonts w:cstheme="minorHAnsi"/>
          <w:i/>
          <w:u w:val="double"/>
        </w:rPr>
        <w:t>D</w:t>
      </w:r>
      <w:r w:rsidRPr="00E056AE">
        <w:rPr>
          <w:rFonts w:cstheme="minorHAnsi"/>
          <w:i/>
        </w:rPr>
        <w:t>ata protection and patient confidentiality.</w:t>
      </w:r>
    </w:p>
    <w:p w14:paraId="07C82F9A" w14:textId="7BE8DA62" w:rsidR="000B2C52" w:rsidRPr="00E056AE" w:rsidRDefault="000B2C52" w:rsidP="00AF1D40">
      <w:pPr>
        <w:rPr>
          <w:rFonts w:cstheme="minorHAnsi"/>
          <w:color w:val="0000FF"/>
          <w:szCs w:val="22"/>
        </w:rPr>
      </w:pPr>
    </w:p>
    <w:p w14:paraId="2F0ED478" w14:textId="77777777" w:rsidR="00282502" w:rsidRPr="00E056AE" w:rsidRDefault="00282502" w:rsidP="00AF1D40">
      <w:pPr>
        <w:rPr>
          <w:rFonts w:cstheme="minorHAnsi"/>
          <w:b/>
        </w:rPr>
      </w:pPr>
    </w:p>
    <w:p w14:paraId="10772F54" w14:textId="51AF0972" w:rsidR="00475FDA" w:rsidRPr="00E056AE" w:rsidRDefault="00997241" w:rsidP="003802A1">
      <w:pPr>
        <w:pStyle w:val="BodyText"/>
        <w:tabs>
          <w:tab w:val="left" w:pos="709"/>
        </w:tabs>
        <w:spacing w:after="120"/>
        <w:rPr>
          <w:rFonts w:asciiTheme="minorHAnsi" w:hAnsiTheme="minorHAnsi" w:cstheme="minorHAnsi"/>
          <w:b/>
          <w:i w:val="0"/>
          <w:sz w:val="22"/>
          <w:szCs w:val="22"/>
        </w:rPr>
      </w:pPr>
      <w:r w:rsidRPr="00E056AE">
        <w:rPr>
          <w:rFonts w:asciiTheme="minorHAnsi" w:hAnsiTheme="minorHAnsi" w:cstheme="minorHAnsi"/>
          <w:b/>
          <w:i w:val="0"/>
          <w:sz w:val="22"/>
          <w:szCs w:val="22"/>
        </w:rPr>
        <w:lastRenderedPageBreak/>
        <w:t>8</w:t>
      </w:r>
      <w:r w:rsidR="00AF1D40" w:rsidRPr="00E056AE">
        <w:rPr>
          <w:rFonts w:asciiTheme="minorHAnsi" w:hAnsiTheme="minorHAnsi" w:cstheme="minorHAnsi"/>
          <w:b/>
          <w:i w:val="0"/>
          <w:sz w:val="22"/>
          <w:szCs w:val="22"/>
        </w:rPr>
        <w:t>.2</w:t>
      </w:r>
      <w:r w:rsidR="00475FDA" w:rsidRPr="00E056AE">
        <w:rPr>
          <w:rFonts w:asciiTheme="minorHAnsi" w:hAnsiTheme="minorHAnsi" w:cstheme="minorHAnsi"/>
          <w:b/>
          <w:i w:val="0"/>
          <w:sz w:val="22"/>
          <w:szCs w:val="22"/>
        </w:rPr>
        <w:t xml:space="preserve"> </w:t>
      </w:r>
      <w:r w:rsidR="003F65B6" w:rsidRPr="00E056AE">
        <w:rPr>
          <w:rFonts w:asciiTheme="minorHAnsi" w:hAnsiTheme="minorHAnsi" w:cstheme="minorHAnsi"/>
          <w:b/>
          <w:i w:val="0"/>
          <w:sz w:val="22"/>
          <w:szCs w:val="22"/>
        </w:rPr>
        <w:tab/>
        <w:t xml:space="preserve"> </w:t>
      </w:r>
      <w:r w:rsidR="00475FDA" w:rsidRPr="00E056AE">
        <w:rPr>
          <w:rFonts w:asciiTheme="minorHAnsi" w:hAnsiTheme="minorHAnsi" w:cstheme="minorHAnsi"/>
          <w:b/>
          <w:i w:val="0"/>
          <w:sz w:val="22"/>
          <w:szCs w:val="22"/>
        </w:rPr>
        <w:t xml:space="preserve">Research Ethics Committee (REC) </w:t>
      </w:r>
      <w:r w:rsidR="009F4727" w:rsidRPr="00E056AE">
        <w:rPr>
          <w:rFonts w:asciiTheme="minorHAnsi" w:hAnsiTheme="minorHAnsi" w:cstheme="minorHAnsi"/>
          <w:b/>
          <w:i w:val="0"/>
          <w:sz w:val="22"/>
          <w:szCs w:val="22"/>
        </w:rPr>
        <w:t xml:space="preserve">and other Regulatory </w:t>
      </w:r>
      <w:r w:rsidR="00475FDA" w:rsidRPr="00E056AE">
        <w:rPr>
          <w:rFonts w:asciiTheme="minorHAnsi" w:hAnsiTheme="minorHAnsi" w:cstheme="minorHAnsi"/>
          <w:b/>
          <w:i w:val="0"/>
          <w:sz w:val="22"/>
          <w:szCs w:val="22"/>
        </w:rPr>
        <w:t>review</w:t>
      </w:r>
      <w:r w:rsidR="00C975D7" w:rsidRPr="00E056AE">
        <w:rPr>
          <w:rFonts w:asciiTheme="minorHAnsi" w:hAnsiTheme="minorHAnsi" w:cstheme="minorHAnsi"/>
          <w:b/>
          <w:i w:val="0"/>
          <w:sz w:val="22"/>
          <w:szCs w:val="22"/>
        </w:rPr>
        <w:t xml:space="preserve"> </w:t>
      </w:r>
      <w:r w:rsidR="00475FDA" w:rsidRPr="00E056AE">
        <w:rPr>
          <w:rFonts w:asciiTheme="minorHAnsi" w:hAnsiTheme="minorHAnsi" w:cstheme="minorHAnsi"/>
          <w:b/>
          <w:i w:val="0"/>
          <w:sz w:val="22"/>
          <w:szCs w:val="22"/>
        </w:rPr>
        <w:t>&amp; reports</w:t>
      </w:r>
    </w:p>
    <w:p w14:paraId="430A4590" w14:textId="1B471309" w:rsidR="000A183F" w:rsidRPr="00E056AE" w:rsidRDefault="000A183F" w:rsidP="003802A1">
      <w:pPr>
        <w:pStyle w:val="BodyText"/>
        <w:tabs>
          <w:tab w:val="left" w:pos="709"/>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Before the start of the study, </w:t>
      </w:r>
      <w:r w:rsidR="00701093" w:rsidRPr="00E056AE">
        <w:rPr>
          <w:rFonts w:asciiTheme="minorHAnsi" w:hAnsiTheme="minorHAnsi" w:cstheme="minorHAnsi"/>
          <w:i w:val="0"/>
          <w:sz w:val="22"/>
          <w:szCs w:val="22"/>
        </w:rPr>
        <w:t>ethical approval</w:t>
      </w:r>
      <w:r w:rsidRPr="00E056AE">
        <w:rPr>
          <w:rFonts w:asciiTheme="minorHAnsi" w:hAnsiTheme="minorHAnsi" w:cstheme="minorHAnsi"/>
          <w:i w:val="0"/>
          <w:sz w:val="22"/>
          <w:szCs w:val="22"/>
        </w:rPr>
        <w:t xml:space="preserve"> will be sought from a Research Ethics Committee (REC) within the UK Health Departments Research Ethics Service for the study protocol, informed consent forms</w:t>
      </w:r>
      <w:r w:rsidR="00701093" w:rsidRPr="00E056AE">
        <w:rPr>
          <w:rFonts w:asciiTheme="minorHAnsi" w:hAnsiTheme="minorHAnsi" w:cstheme="minorHAnsi"/>
          <w:i w:val="0"/>
          <w:sz w:val="22"/>
          <w:szCs w:val="22"/>
        </w:rPr>
        <w:t>,</w:t>
      </w:r>
      <w:r w:rsidRPr="00E056AE">
        <w:rPr>
          <w:rFonts w:asciiTheme="minorHAnsi" w:hAnsiTheme="minorHAnsi" w:cstheme="minorHAnsi"/>
          <w:i w:val="0"/>
          <w:sz w:val="22"/>
          <w:szCs w:val="22"/>
        </w:rPr>
        <w:t xml:space="preserve"> and all other relevant documents.</w:t>
      </w:r>
    </w:p>
    <w:p w14:paraId="6A54DC2C" w14:textId="77777777" w:rsidR="0074226F" w:rsidRPr="00E056AE"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E056AE" w:rsidRDefault="003F65B6" w:rsidP="003F65B6">
      <w:pPr>
        <w:autoSpaceDE w:val="0"/>
        <w:autoSpaceDN w:val="0"/>
        <w:adjustRightInd w:val="0"/>
        <w:spacing w:line="240" w:lineRule="auto"/>
        <w:rPr>
          <w:rFonts w:cstheme="minorHAnsi"/>
          <w:b/>
          <w:bCs/>
          <w:szCs w:val="22"/>
          <w:lang w:eastAsia="en-GB"/>
        </w:rPr>
      </w:pPr>
      <w:r w:rsidRPr="00E056AE">
        <w:rPr>
          <w:rFonts w:cstheme="minorHAnsi"/>
          <w:b/>
          <w:bCs/>
          <w:szCs w:val="22"/>
          <w:lang w:eastAsia="en-GB"/>
        </w:rPr>
        <w:t xml:space="preserve">Regulatory Review &amp; Compliance </w:t>
      </w:r>
    </w:p>
    <w:p w14:paraId="04BC1117" w14:textId="67AF761A" w:rsidR="003F65B6" w:rsidRPr="00E056AE" w:rsidRDefault="003F65B6" w:rsidP="009B42E1">
      <w:pPr>
        <w:autoSpaceDE w:val="0"/>
        <w:autoSpaceDN w:val="0"/>
        <w:adjustRightInd w:val="0"/>
        <w:spacing w:line="240" w:lineRule="auto"/>
        <w:rPr>
          <w:rFonts w:cstheme="minorHAnsi"/>
          <w:szCs w:val="22"/>
        </w:rPr>
      </w:pPr>
      <w:r w:rsidRPr="00E056AE">
        <w:rPr>
          <w:rFonts w:cstheme="minorHAnsi"/>
          <w:szCs w:val="22"/>
        </w:rPr>
        <w:t xml:space="preserve">Before any site can enrol patients into the study, the Chief Investigator/Principal Investigator or designee will ensure that appropriate approvals from participating organisations are in place. Specific arrangements on how to gain approval from participating organisations are in place and comply with the relevant guidance. </w:t>
      </w:r>
    </w:p>
    <w:p w14:paraId="3DE8535B" w14:textId="7F8D52C7" w:rsidR="003F65B6" w:rsidRPr="00E056AE" w:rsidRDefault="003F65B6" w:rsidP="009B42E1">
      <w:pPr>
        <w:autoSpaceDE w:val="0"/>
        <w:autoSpaceDN w:val="0"/>
        <w:adjustRightInd w:val="0"/>
        <w:spacing w:line="240" w:lineRule="auto"/>
        <w:rPr>
          <w:rFonts w:cstheme="minorHAnsi"/>
          <w:szCs w:val="22"/>
        </w:rPr>
      </w:pPr>
      <w:r w:rsidRPr="00E056AE">
        <w:rPr>
          <w:rFonts w:cstheme="minorHAnsi"/>
          <w:szCs w:val="22"/>
        </w:rPr>
        <w:t>For any amendment to the study, the Chief Investigator or designee, in agreement with the sponsor will submit information to the appropriate body in order for them to issue approval for the amendment. The Chief Investigator or designee will work with sites (R&amp;D departments at NHS sites as well as the study delivery team) so they can put the necessary arrangements in place to implement the amendment</w:t>
      </w:r>
      <w:r w:rsidR="00125CCC" w:rsidRPr="00E056AE">
        <w:rPr>
          <w:rFonts w:cstheme="minorHAnsi"/>
          <w:szCs w:val="22"/>
        </w:rPr>
        <w:t xml:space="preserve"> to confirm</w:t>
      </w:r>
      <w:r w:rsidRPr="00E056AE">
        <w:rPr>
          <w:rFonts w:cstheme="minorHAnsi"/>
          <w:szCs w:val="22"/>
        </w:rPr>
        <w:t xml:space="preserve"> their support for the study as </w:t>
      </w:r>
      <w:hyperlink r:id="rId12" w:history="1">
        <w:r w:rsidRPr="00E056AE">
          <w:rPr>
            <w:rStyle w:val="Hyperlink"/>
            <w:rFonts w:cstheme="minorHAnsi"/>
            <w:color w:val="auto"/>
            <w:szCs w:val="22"/>
          </w:rPr>
          <w:t>amended</w:t>
        </w:r>
      </w:hyperlink>
      <w:r w:rsidRPr="00E056AE">
        <w:rPr>
          <w:rFonts w:cstheme="minorHAnsi"/>
          <w:szCs w:val="22"/>
        </w:rPr>
        <w:t>.</w:t>
      </w:r>
    </w:p>
    <w:p w14:paraId="31680EB2" w14:textId="7E401166" w:rsidR="0074226F" w:rsidRPr="00E056AE" w:rsidRDefault="0074226F" w:rsidP="0074226F">
      <w:pPr>
        <w:pStyle w:val="Heading31"/>
        <w:suppressAutoHyphens w:val="0"/>
        <w:spacing w:after="120"/>
        <w:rPr>
          <w:rFonts w:asciiTheme="minorHAnsi" w:hAnsiTheme="minorHAnsi" w:cstheme="minorHAnsi"/>
          <w:bCs/>
          <w:sz w:val="22"/>
          <w:szCs w:val="22"/>
          <w:lang w:val="en-GB"/>
        </w:rPr>
      </w:pPr>
      <w:r w:rsidRPr="00E056AE">
        <w:rPr>
          <w:rFonts w:asciiTheme="minorHAnsi" w:hAnsiTheme="minorHAnsi" w:cstheme="minorHAnsi"/>
          <w:bCs/>
          <w:sz w:val="22"/>
          <w:szCs w:val="22"/>
          <w:lang w:val="en-GB"/>
        </w:rPr>
        <w:t xml:space="preserve">Amendments </w:t>
      </w:r>
    </w:p>
    <w:p w14:paraId="7AE8786D" w14:textId="05DA7436" w:rsidR="00412127" w:rsidRPr="00E056AE" w:rsidRDefault="00412127" w:rsidP="0074226F">
      <w:pPr>
        <w:pStyle w:val="Heading31"/>
        <w:suppressAutoHyphens w:val="0"/>
        <w:spacing w:after="120"/>
        <w:rPr>
          <w:rFonts w:asciiTheme="minorHAnsi" w:hAnsiTheme="minorHAnsi" w:cstheme="minorHAnsi"/>
          <w:b w:val="0"/>
          <w:bCs/>
          <w:sz w:val="22"/>
          <w:szCs w:val="22"/>
          <w:lang w:val="en-GB"/>
        </w:rPr>
      </w:pPr>
      <w:r w:rsidRPr="00E056AE">
        <w:rPr>
          <w:rFonts w:asciiTheme="minorHAnsi" w:hAnsiTheme="minorHAnsi" w:cstheme="minorHAnsi"/>
          <w:b w:val="0"/>
          <w:bCs/>
          <w:sz w:val="22"/>
          <w:szCs w:val="22"/>
          <w:lang w:val="en-GB"/>
        </w:rPr>
        <w:t>Any substantial amendments to the REC application or supporting documents will be submitted via a valid notice to the REC for consideration. Notification will also concurrently be given to the national coordinating function of the NHS R&amp;D office within England, and participating organisations (local sites, and local research team).</w:t>
      </w:r>
    </w:p>
    <w:p w14:paraId="73CC162B" w14:textId="24C0F644" w:rsidR="007D1B66" w:rsidRPr="00E056AE" w:rsidRDefault="00412127" w:rsidP="0074226F">
      <w:pPr>
        <w:pStyle w:val="Heading31"/>
        <w:suppressAutoHyphens w:val="0"/>
        <w:spacing w:after="120"/>
        <w:rPr>
          <w:rFonts w:asciiTheme="minorHAnsi" w:hAnsiTheme="minorHAnsi" w:cstheme="minorHAnsi"/>
          <w:b w:val="0"/>
          <w:bCs/>
          <w:sz w:val="22"/>
          <w:szCs w:val="22"/>
          <w:lang w:val="en-GB"/>
        </w:rPr>
      </w:pPr>
      <w:r w:rsidRPr="00E056AE">
        <w:rPr>
          <w:rFonts w:asciiTheme="minorHAnsi" w:hAnsiTheme="minorHAnsi" w:cstheme="minorHAnsi"/>
          <w:b w:val="0"/>
          <w:bCs/>
          <w:sz w:val="22"/>
          <w:szCs w:val="22"/>
          <w:lang w:val="en-GB"/>
        </w:rPr>
        <w:t xml:space="preserve">The decision for making amendments to the REC application or supporting documents is the sole responsibility of the research team outlined in this application. The decision as to whether amendments are deemed substantial will be taken by the research team in consultation with the local </w:t>
      </w:r>
      <w:r w:rsidR="007D1B66" w:rsidRPr="00E056AE">
        <w:rPr>
          <w:rFonts w:asciiTheme="minorHAnsi" w:hAnsiTheme="minorHAnsi" w:cstheme="minorHAnsi"/>
          <w:b w:val="0"/>
          <w:bCs/>
          <w:sz w:val="22"/>
          <w:szCs w:val="22"/>
          <w:lang w:val="en-GB"/>
        </w:rPr>
        <w:t xml:space="preserve">research ethics department at St. George’s University. Where the local research ethics department indicate they believe a change to be substantial, this will </w:t>
      </w:r>
      <w:r w:rsidR="00B64FFF" w:rsidRPr="00E056AE">
        <w:rPr>
          <w:rFonts w:asciiTheme="minorHAnsi" w:hAnsiTheme="minorHAnsi" w:cstheme="minorHAnsi"/>
          <w:b w:val="0"/>
          <w:bCs/>
          <w:sz w:val="22"/>
          <w:szCs w:val="22"/>
          <w:lang w:val="en-GB"/>
        </w:rPr>
        <w:t>be upheld</w:t>
      </w:r>
      <w:r w:rsidR="007D1B66" w:rsidRPr="00E056AE">
        <w:rPr>
          <w:rFonts w:asciiTheme="minorHAnsi" w:hAnsiTheme="minorHAnsi" w:cstheme="minorHAnsi"/>
          <w:b w:val="0"/>
          <w:bCs/>
          <w:sz w:val="22"/>
          <w:szCs w:val="22"/>
          <w:lang w:val="en-GB"/>
        </w:rPr>
        <w:t xml:space="preserve"> by the research team.</w:t>
      </w:r>
    </w:p>
    <w:p w14:paraId="28A8F996" w14:textId="0EA88911" w:rsidR="00412127" w:rsidRPr="00E056AE" w:rsidRDefault="007D1B66" w:rsidP="0074226F">
      <w:pPr>
        <w:pStyle w:val="Heading31"/>
        <w:suppressAutoHyphens w:val="0"/>
        <w:spacing w:after="120"/>
        <w:rPr>
          <w:rFonts w:asciiTheme="minorHAnsi" w:hAnsiTheme="minorHAnsi" w:cstheme="minorHAnsi"/>
          <w:b w:val="0"/>
          <w:bCs/>
          <w:sz w:val="22"/>
          <w:szCs w:val="22"/>
          <w:lang w:val="en-GB"/>
        </w:rPr>
      </w:pPr>
      <w:r w:rsidRPr="00E056AE">
        <w:rPr>
          <w:rFonts w:asciiTheme="minorHAnsi" w:hAnsiTheme="minorHAnsi" w:cstheme="minorHAnsi"/>
          <w:b w:val="0"/>
          <w:bCs/>
          <w:sz w:val="22"/>
          <w:szCs w:val="22"/>
          <w:lang w:val="en-GB"/>
        </w:rPr>
        <w:t>Substantial changes will be communicated to the relevant stakeholders through email correspondence from the research team, and appropriate steps taken to submit amendments by the research team. Amendment history will be tracked through version control of the protocol and supporting documents, substantial changes will be specifically highlighted in subsequent versions of documents that include the amendment.</w:t>
      </w:r>
      <w:r w:rsidR="00412127" w:rsidRPr="00E056AE">
        <w:rPr>
          <w:rFonts w:asciiTheme="minorHAnsi" w:hAnsiTheme="minorHAnsi" w:cstheme="minorHAnsi"/>
          <w:b w:val="0"/>
          <w:bCs/>
          <w:sz w:val="22"/>
          <w:szCs w:val="22"/>
          <w:lang w:val="en-GB"/>
        </w:rPr>
        <w:t xml:space="preserve"> </w:t>
      </w:r>
    </w:p>
    <w:p w14:paraId="25A0F43B" w14:textId="77777777" w:rsidR="00475FDA" w:rsidRPr="00E056AE" w:rsidRDefault="00475FDA" w:rsidP="003802A1">
      <w:pPr>
        <w:pStyle w:val="BodyText"/>
        <w:tabs>
          <w:tab w:val="left" w:pos="709"/>
        </w:tabs>
        <w:spacing w:after="120"/>
        <w:rPr>
          <w:rFonts w:asciiTheme="minorHAnsi" w:hAnsiTheme="minorHAnsi" w:cstheme="minorHAnsi"/>
          <w:b/>
          <w:i w:val="0"/>
          <w:sz w:val="22"/>
          <w:szCs w:val="22"/>
        </w:rPr>
      </w:pPr>
    </w:p>
    <w:p w14:paraId="15607480" w14:textId="59DD4F06" w:rsidR="00475FDA" w:rsidRPr="00E056AE" w:rsidRDefault="00997241" w:rsidP="006B6502">
      <w:pPr>
        <w:pStyle w:val="BodyText"/>
        <w:spacing w:after="120"/>
        <w:ind w:left="720" w:hanging="720"/>
        <w:rPr>
          <w:rFonts w:asciiTheme="minorHAnsi" w:hAnsiTheme="minorHAnsi" w:cstheme="minorHAnsi"/>
          <w:b/>
          <w:i w:val="0"/>
          <w:sz w:val="22"/>
          <w:szCs w:val="22"/>
        </w:rPr>
      </w:pPr>
      <w:r w:rsidRPr="00E056AE">
        <w:rPr>
          <w:rFonts w:asciiTheme="minorHAnsi" w:hAnsiTheme="minorHAnsi" w:cstheme="minorHAnsi"/>
          <w:b/>
          <w:i w:val="0"/>
          <w:sz w:val="22"/>
          <w:szCs w:val="22"/>
        </w:rPr>
        <w:t>8</w:t>
      </w:r>
      <w:r w:rsidR="00441AFA" w:rsidRPr="00E056AE">
        <w:rPr>
          <w:rFonts w:asciiTheme="minorHAnsi" w:hAnsiTheme="minorHAnsi" w:cstheme="minorHAnsi"/>
          <w:b/>
          <w:i w:val="0"/>
          <w:sz w:val="22"/>
          <w:szCs w:val="22"/>
        </w:rPr>
        <w:t>.</w:t>
      </w:r>
      <w:r w:rsidR="00401DE9" w:rsidRPr="00E056AE">
        <w:rPr>
          <w:rFonts w:asciiTheme="minorHAnsi" w:hAnsiTheme="minorHAnsi" w:cstheme="minorHAnsi"/>
          <w:b/>
          <w:i w:val="0"/>
          <w:sz w:val="22"/>
          <w:szCs w:val="22"/>
        </w:rPr>
        <w:t>3</w:t>
      </w:r>
      <w:r w:rsidR="00475FDA" w:rsidRPr="00E056AE">
        <w:rPr>
          <w:rFonts w:asciiTheme="minorHAnsi" w:hAnsiTheme="minorHAnsi" w:cstheme="minorHAnsi"/>
          <w:b/>
          <w:i w:val="0"/>
          <w:sz w:val="22"/>
          <w:szCs w:val="22"/>
        </w:rPr>
        <w:t xml:space="preserve"> </w:t>
      </w:r>
      <w:r w:rsidR="00D027C8" w:rsidRPr="00E056AE">
        <w:rPr>
          <w:rFonts w:asciiTheme="minorHAnsi" w:hAnsiTheme="minorHAnsi" w:cstheme="minorHAnsi"/>
          <w:b/>
          <w:i w:val="0"/>
          <w:sz w:val="22"/>
          <w:szCs w:val="22"/>
        </w:rPr>
        <w:tab/>
      </w:r>
      <w:r w:rsidR="00475FDA" w:rsidRPr="00E056AE">
        <w:rPr>
          <w:rFonts w:asciiTheme="minorHAnsi" w:hAnsiTheme="minorHAnsi" w:cstheme="minorHAnsi"/>
          <w:b/>
          <w:i w:val="0"/>
          <w:sz w:val="22"/>
          <w:szCs w:val="22"/>
        </w:rPr>
        <w:t>Peer review</w:t>
      </w:r>
    </w:p>
    <w:p w14:paraId="1A2D74D2" w14:textId="42C62897" w:rsidR="00326F98" w:rsidRPr="00E056AE" w:rsidRDefault="001C6A69" w:rsidP="006B6502">
      <w:pPr>
        <w:pStyle w:val="BodyText"/>
        <w:spacing w:after="120"/>
        <w:ind w:left="720" w:hanging="720"/>
        <w:rPr>
          <w:rFonts w:asciiTheme="minorHAnsi" w:hAnsiTheme="minorHAnsi" w:cstheme="minorHAnsi"/>
          <w:i w:val="0"/>
          <w:sz w:val="22"/>
          <w:szCs w:val="22"/>
        </w:rPr>
      </w:pPr>
      <w:r w:rsidRPr="00E056AE">
        <w:rPr>
          <w:rFonts w:asciiTheme="minorHAnsi" w:hAnsiTheme="minorHAnsi" w:cstheme="minorHAnsi"/>
          <w:i w:val="0"/>
          <w:sz w:val="22"/>
          <w:szCs w:val="22"/>
        </w:rPr>
        <w:t>This research study forms part of a larger schedule of research</w:t>
      </w:r>
      <w:r w:rsidR="00701093" w:rsidRPr="00E056AE">
        <w:rPr>
          <w:rFonts w:asciiTheme="minorHAnsi" w:hAnsiTheme="minorHAnsi" w:cstheme="minorHAnsi"/>
          <w:i w:val="0"/>
          <w:sz w:val="22"/>
          <w:szCs w:val="22"/>
        </w:rPr>
        <w:t>,</w:t>
      </w:r>
      <w:r w:rsidRPr="00E056AE">
        <w:rPr>
          <w:rFonts w:asciiTheme="minorHAnsi" w:hAnsiTheme="minorHAnsi" w:cstheme="minorHAnsi"/>
          <w:i w:val="0"/>
          <w:sz w:val="22"/>
          <w:szCs w:val="22"/>
        </w:rPr>
        <w:t xml:space="preserve"> which was </w:t>
      </w:r>
      <w:r w:rsidR="00A46FF9" w:rsidRPr="00E056AE">
        <w:rPr>
          <w:rFonts w:asciiTheme="minorHAnsi" w:hAnsiTheme="minorHAnsi" w:cstheme="minorHAnsi"/>
          <w:i w:val="0"/>
          <w:sz w:val="22"/>
          <w:szCs w:val="22"/>
        </w:rPr>
        <w:t xml:space="preserve">successfully funded by </w:t>
      </w:r>
      <w:r w:rsidRPr="00E056AE">
        <w:rPr>
          <w:rFonts w:asciiTheme="minorHAnsi" w:hAnsiTheme="minorHAnsi" w:cstheme="minorHAnsi"/>
          <w:i w:val="0"/>
          <w:sz w:val="22"/>
          <w:szCs w:val="22"/>
        </w:rPr>
        <w:t xml:space="preserve">the Rosetrees Trust </w:t>
      </w:r>
      <w:r w:rsidR="00A46FF9" w:rsidRPr="00E056AE">
        <w:rPr>
          <w:rFonts w:asciiTheme="minorHAnsi" w:hAnsiTheme="minorHAnsi" w:cstheme="minorHAnsi"/>
          <w:i w:val="0"/>
          <w:sz w:val="22"/>
          <w:szCs w:val="22"/>
        </w:rPr>
        <w:t xml:space="preserve">following a peer-review process for the </w:t>
      </w:r>
      <w:r w:rsidRPr="00E056AE">
        <w:rPr>
          <w:rFonts w:asciiTheme="minorHAnsi" w:hAnsiTheme="minorHAnsi" w:cstheme="minorHAnsi"/>
          <w:i w:val="0"/>
          <w:sz w:val="22"/>
          <w:szCs w:val="22"/>
        </w:rPr>
        <w:t>funding application</w:t>
      </w:r>
      <w:r w:rsidR="0092573B" w:rsidRPr="00E056AE">
        <w:rPr>
          <w:rFonts w:asciiTheme="minorHAnsi" w:hAnsiTheme="minorHAnsi" w:cstheme="minorHAnsi"/>
          <w:i w:val="0"/>
          <w:sz w:val="22"/>
          <w:szCs w:val="22"/>
        </w:rPr>
        <w:t xml:space="preserve">. Rosetrees </w:t>
      </w:r>
      <w:r w:rsidR="00A46FF9" w:rsidRPr="00E056AE">
        <w:rPr>
          <w:rFonts w:asciiTheme="minorHAnsi" w:hAnsiTheme="minorHAnsi" w:cstheme="minorHAnsi"/>
          <w:i w:val="0"/>
          <w:sz w:val="22"/>
          <w:szCs w:val="22"/>
        </w:rPr>
        <w:t>T</w:t>
      </w:r>
      <w:r w:rsidR="0092573B" w:rsidRPr="00E056AE">
        <w:rPr>
          <w:rFonts w:asciiTheme="minorHAnsi" w:hAnsiTheme="minorHAnsi" w:cstheme="minorHAnsi"/>
          <w:i w:val="0"/>
          <w:sz w:val="22"/>
          <w:szCs w:val="22"/>
        </w:rPr>
        <w:t xml:space="preserve">rust utilise a panel of scientific experts to assess proposed research before granting funding, including assessing the feasibility of the proposed research, and critiquing the methods proposed. Rosetrees Trust is independent of the sponsor and academic team involved in the research and are not involved in the study in any way. </w:t>
      </w:r>
    </w:p>
    <w:p w14:paraId="6A0EA5EA" w14:textId="77777777" w:rsidR="00475FDA" w:rsidRPr="00E056AE" w:rsidRDefault="00475FDA" w:rsidP="003802A1">
      <w:pPr>
        <w:pStyle w:val="Default"/>
        <w:spacing w:after="120"/>
        <w:rPr>
          <w:rFonts w:asciiTheme="minorHAnsi" w:hAnsiTheme="minorHAnsi" w:cstheme="minorHAnsi"/>
          <w:color w:val="0000FF"/>
          <w:sz w:val="22"/>
          <w:szCs w:val="22"/>
        </w:rPr>
      </w:pPr>
    </w:p>
    <w:p w14:paraId="4C3C9BFD" w14:textId="22FFC7DA" w:rsidR="00475FDA" w:rsidRPr="00E056AE" w:rsidRDefault="00997241" w:rsidP="006B6502">
      <w:pPr>
        <w:pStyle w:val="BodyText"/>
        <w:spacing w:after="120"/>
        <w:ind w:left="720" w:hanging="720"/>
        <w:rPr>
          <w:rFonts w:asciiTheme="minorHAnsi" w:hAnsiTheme="minorHAnsi" w:cstheme="minorHAnsi"/>
          <w:b/>
          <w:i w:val="0"/>
          <w:sz w:val="22"/>
          <w:szCs w:val="22"/>
        </w:rPr>
      </w:pPr>
      <w:r w:rsidRPr="00E056AE">
        <w:rPr>
          <w:rFonts w:asciiTheme="minorHAnsi" w:hAnsiTheme="minorHAnsi" w:cstheme="minorHAnsi"/>
          <w:b/>
          <w:i w:val="0"/>
          <w:sz w:val="22"/>
          <w:szCs w:val="22"/>
        </w:rPr>
        <w:t>8</w:t>
      </w:r>
      <w:r w:rsidR="00441AFA" w:rsidRPr="00E056AE">
        <w:rPr>
          <w:rFonts w:asciiTheme="minorHAnsi" w:hAnsiTheme="minorHAnsi" w:cstheme="minorHAnsi"/>
          <w:b/>
          <w:i w:val="0"/>
          <w:sz w:val="22"/>
          <w:szCs w:val="22"/>
        </w:rPr>
        <w:t>.4</w:t>
      </w:r>
      <w:r w:rsidR="00475FDA" w:rsidRPr="00E056AE">
        <w:rPr>
          <w:rFonts w:asciiTheme="minorHAnsi" w:hAnsiTheme="minorHAnsi" w:cstheme="minorHAnsi"/>
          <w:b/>
          <w:i w:val="0"/>
          <w:sz w:val="22"/>
          <w:szCs w:val="22"/>
        </w:rPr>
        <w:t xml:space="preserve"> </w:t>
      </w:r>
      <w:r w:rsidR="00D027C8" w:rsidRPr="00E056AE">
        <w:rPr>
          <w:rFonts w:asciiTheme="minorHAnsi" w:hAnsiTheme="minorHAnsi" w:cstheme="minorHAnsi"/>
          <w:b/>
          <w:i w:val="0"/>
          <w:sz w:val="22"/>
          <w:szCs w:val="22"/>
        </w:rPr>
        <w:tab/>
      </w:r>
      <w:r w:rsidR="00441AFA" w:rsidRPr="00E056AE">
        <w:rPr>
          <w:rFonts w:asciiTheme="minorHAnsi" w:hAnsiTheme="minorHAnsi" w:cstheme="minorHAnsi"/>
          <w:b/>
          <w:i w:val="0"/>
          <w:sz w:val="22"/>
          <w:szCs w:val="22"/>
        </w:rPr>
        <w:t xml:space="preserve">Patient &amp; </w:t>
      </w:r>
      <w:r w:rsidR="00475FDA" w:rsidRPr="00E056AE">
        <w:rPr>
          <w:rFonts w:asciiTheme="minorHAnsi" w:hAnsiTheme="minorHAnsi" w:cstheme="minorHAnsi"/>
          <w:b/>
          <w:i w:val="0"/>
          <w:sz w:val="22"/>
          <w:szCs w:val="22"/>
        </w:rPr>
        <w:t xml:space="preserve">Public </w:t>
      </w:r>
      <w:r w:rsidR="00DD31D1" w:rsidRPr="00E056AE">
        <w:rPr>
          <w:rFonts w:asciiTheme="minorHAnsi" w:hAnsiTheme="minorHAnsi" w:cstheme="minorHAnsi"/>
          <w:b/>
          <w:i w:val="0"/>
          <w:sz w:val="22"/>
          <w:szCs w:val="22"/>
        </w:rPr>
        <w:t>I</w:t>
      </w:r>
      <w:r w:rsidR="00475FDA" w:rsidRPr="00E056AE">
        <w:rPr>
          <w:rFonts w:asciiTheme="minorHAnsi" w:hAnsiTheme="minorHAnsi" w:cstheme="minorHAnsi"/>
          <w:b/>
          <w:i w:val="0"/>
          <w:sz w:val="22"/>
          <w:szCs w:val="22"/>
        </w:rPr>
        <w:t>nvolvement</w:t>
      </w:r>
    </w:p>
    <w:p w14:paraId="46B9D169" w14:textId="17538761" w:rsidR="005B6AAD" w:rsidRPr="00E056AE" w:rsidRDefault="005B6AAD" w:rsidP="006B6502">
      <w:pPr>
        <w:pStyle w:val="BodyText"/>
        <w:spacing w:after="120"/>
        <w:ind w:left="720" w:hanging="720"/>
        <w:rPr>
          <w:rFonts w:asciiTheme="minorHAnsi" w:eastAsiaTheme="minorHAnsi" w:hAnsiTheme="minorHAnsi" w:cstheme="minorHAnsi"/>
          <w:i w:val="0"/>
          <w:spacing w:val="0"/>
          <w:sz w:val="22"/>
          <w:szCs w:val="22"/>
        </w:rPr>
      </w:pPr>
      <w:r w:rsidRPr="00E056AE">
        <w:rPr>
          <w:rFonts w:asciiTheme="minorHAnsi" w:eastAsiaTheme="minorHAnsi" w:hAnsiTheme="minorHAnsi" w:cstheme="minorHAnsi"/>
          <w:i w:val="0"/>
          <w:spacing w:val="0"/>
          <w:sz w:val="22"/>
          <w:szCs w:val="22"/>
        </w:rPr>
        <w:lastRenderedPageBreak/>
        <w:t>In developing this research our PPI and stakeholder engagement has taken the form of consulting healthcare service providers at the primary site (St. George’s University Hospital) to gauge interest and support for the research. We also consulted with a wider pool of TB specialist and healthcare staff from the wider area at the South-West London TB cohort review. This included specialists from two</w:t>
      </w:r>
      <w:r w:rsidR="006F198E" w:rsidRPr="00E056AE">
        <w:rPr>
          <w:rFonts w:asciiTheme="minorHAnsi" w:eastAsiaTheme="minorHAnsi" w:hAnsiTheme="minorHAnsi" w:cstheme="minorHAnsi"/>
          <w:i w:val="0"/>
          <w:spacing w:val="0"/>
          <w:sz w:val="22"/>
          <w:szCs w:val="22"/>
        </w:rPr>
        <w:t xml:space="preserve"> of the proposed</w:t>
      </w:r>
      <w:r w:rsidRPr="00E056AE">
        <w:rPr>
          <w:rFonts w:asciiTheme="minorHAnsi" w:eastAsiaTheme="minorHAnsi" w:hAnsiTheme="minorHAnsi" w:cstheme="minorHAnsi"/>
          <w:i w:val="0"/>
          <w:spacing w:val="0"/>
          <w:sz w:val="22"/>
          <w:szCs w:val="22"/>
        </w:rPr>
        <w:t xml:space="preserve"> sites, St. George’s Hospital and Croydon University hospital. The feasibility, acceptability and design of the research have been considered in light of consultation with these groups. </w:t>
      </w:r>
      <w:r w:rsidR="00747566" w:rsidRPr="00E056AE">
        <w:rPr>
          <w:rFonts w:asciiTheme="minorHAnsi" w:eastAsiaTheme="minorHAnsi" w:hAnsiTheme="minorHAnsi" w:cstheme="minorHAnsi"/>
          <w:i w:val="0"/>
          <w:spacing w:val="0"/>
          <w:sz w:val="22"/>
          <w:szCs w:val="22"/>
        </w:rPr>
        <w:t>Members of the research team also have e</w:t>
      </w:r>
      <w:r w:rsidR="0051411E" w:rsidRPr="00E056AE">
        <w:rPr>
          <w:rFonts w:asciiTheme="minorHAnsi" w:eastAsiaTheme="minorHAnsi" w:hAnsiTheme="minorHAnsi" w:cstheme="minorHAnsi"/>
          <w:i w:val="0"/>
          <w:spacing w:val="0"/>
          <w:sz w:val="22"/>
          <w:szCs w:val="22"/>
        </w:rPr>
        <w:t>xtensive expertise in qualitative research methodologies, and specifically in involving healthcare staff/service providers</w:t>
      </w:r>
      <w:r w:rsidR="009A7744" w:rsidRPr="00E056AE">
        <w:rPr>
          <w:rFonts w:asciiTheme="minorHAnsi" w:eastAsiaTheme="minorHAnsi" w:hAnsiTheme="minorHAnsi" w:cstheme="minorHAnsi"/>
          <w:i w:val="0"/>
          <w:spacing w:val="0"/>
          <w:sz w:val="22"/>
          <w:szCs w:val="22"/>
        </w:rPr>
        <w:t>.</w:t>
      </w:r>
      <w:r w:rsidR="00EF5F6E" w:rsidRPr="00E056AE">
        <w:rPr>
          <w:rFonts w:asciiTheme="minorHAnsi" w:eastAsiaTheme="minorHAnsi" w:hAnsiTheme="minorHAnsi" w:cstheme="minorHAnsi"/>
          <w:i w:val="0"/>
          <w:spacing w:val="0"/>
          <w:sz w:val="22"/>
          <w:szCs w:val="22"/>
        </w:rPr>
        <w:fldChar w:fldCharType="begin" w:fldLock="1"/>
      </w:r>
      <w:r w:rsidR="009553AE" w:rsidRPr="00E056AE">
        <w:rPr>
          <w:rFonts w:asciiTheme="minorHAnsi" w:eastAsiaTheme="minorHAnsi" w:hAnsiTheme="minorHAnsi" w:cstheme="minorHAnsi"/>
          <w:i w:val="0"/>
          <w:spacing w:val="0"/>
          <w:sz w:val="22"/>
          <w:szCs w:val="22"/>
        </w:rPr>
        <w:instrText>ADDIN CSL_CITATION {"citationItems":[{"id":"ITEM-1","itemData":{"author":[{"dropping-particle":"","family":"Seedat","given":"Farah","non-dropping-particle":"","parse-names":false,"suffix":""},{"dropping-particle":"","family":"Hargreaves","given":"Sally","non-dropping-particle":"","parse-names":false,"suffix":""},{"dropping-particle":"","family":"Friedland","given":"Jonathan S","non-dropping-particle":"","parse-names":false,"suffix":""}],"container-title":"PLoS One","id":"ITEM-1","issue":"10","issued":{"date-parts":[["2014"]]},"page":"e108261","publisher":"Public Library of Science","title":"Engaging new migrants in infectious disease screening: a qualitative semi-structured interview study of UK migrant community health-care leads","type":"article-journal","volume":"9"},"uris":["http://www.mendeley.com/documents/?uuid=4f7f9df0-1121-4dbb-8f8a-2aa00fc9f01e"]}],"mendeley":{"formattedCitation":"&lt;sup&gt;26&lt;/sup&gt;","plainTextFormattedCitation":"26","previouslyFormattedCitation":"&lt;sup&gt;26&lt;/sup&gt;"},"properties":{"noteIndex":0},"schema":"https://github.com/citation-style-language/schema/raw/master/csl-citation.json"}</w:instrText>
      </w:r>
      <w:r w:rsidR="00EF5F6E" w:rsidRPr="00E056AE">
        <w:rPr>
          <w:rFonts w:asciiTheme="minorHAnsi" w:eastAsiaTheme="minorHAnsi" w:hAnsiTheme="minorHAnsi" w:cstheme="minorHAnsi"/>
          <w:i w:val="0"/>
          <w:spacing w:val="0"/>
          <w:sz w:val="22"/>
          <w:szCs w:val="22"/>
        </w:rPr>
        <w:fldChar w:fldCharType="separate"/>
      </w:r>
      <w:r w:rsidR="009553AE" w:rsidRPr="00E056AE">
        <w:rPr>
          <w:rFonts w:asciiTheme="minorHAnsi" w:eastAsiaTheme="minorHAnsi" w:hAnsiTheme="minorHAnsi" w:cstheme="minorHAnsi"/>
          <w:i w:val="0"/>
          <w:noProof/>
          <w:spacing w:val="0"/>
          <w:sz w:val="22"/>
          <w:szCs w:val="22"/>
          <w:vertAlign w:val="superscript"/>
        </w:rPr>
        <w:t>26</w:t>
      </w:r>
      <w:r w:rsidR="00EF5F6E" w:rsidRPr="00E056AE">
        <w:rPr>
          <w:rFonts w:asciiTheme="minorHAnsi" w:eastAsiaTheme="minorHAnsi" w:hAnsiTheme="minorHAnsi" w:cstheme="minorHAnsi"/>
          <w:i w:val="0"/>
          <w:spacing w:val="0"/>
          <w:sz w:val="22"/>
          <w:szCs w:val="22"/>
        </w:rPr>
        <w:fldChar w:fldCharType="end"/>
      </w:r>
      <w:r w:rsidR="00EF5F6E" w:rsidRPr="00E056AE">
        <w:rPr>
          <w:rFonts w:asciiTheme="minorHAnsi" w:eastAsiaTheme="minorHAnsi" w:hAnsiTheme="minorHAnsi" w:cstheme="minorHAnsi"/>
          <w:i w:val="0"/>
          <w:spacing w:val="0"/>
          <w:sz w:val="22"/>
          <w:szCs w:val="22"/>
        </w:rPr>
        <w:t xml:space="preserve"> </w:t>
      </w:r>
    </w:p>
    <w:p w14:paraId="47AE2A31" w14:textId="4DAC93CD" w:rsidR="00A45AEC" w:rsidRPr="00E056AE" w:rsidRDefault="00A45AEC" w:rsidP="006B6502">
      <w:pPr>
        <w:pStyle w:val="BodyText"/>
        <w:spacing w:after="120"/>
        <w:ind w:left="720" w:hanging="720"/>
        <w:rPr>
          <w:rFonts w:asciiTheme="minorHAnsi" w:eastAsiaTheme="minorHAnsi" w:hAnsiTheme="minorHAnsi" w:cstheme="minorHAnsi"/>
          <w:i w:val="0"/>
          <w:spacing w:val="0"/>
          <w:sz w:val="22"/>
          <w:szCs w:val="22"/>
        </w:rPr>
      </w:pPr>
      <w:r w:rsidRPr="00E056AE">
        <w:rPr>
          <w:rFonts w:asciiTheme="minorHAnsi" w:eastAsiaTheme="minorHAnsi" w:hAnsiTheme="minorHAnsi" w:cstheme="minorHAnsi"/>
          <w:i w:val="0"/>
          <w:spacing w:val="0"/>
          <w:sz w:val="22"/>
          <w:szCs w:val="22"/>
        </w:rPr>
        <w:t>We have not directly engaged with patients as an individual group as of yet. This is largely a methodological</w:t>
      </w:r>
      <w:r w:rsidR="003925DD" w:rsidRPr="00E056AE">
        <w:rPr>
          <w:rFonts w:asciiTheme="minorHAnsi" w:eastAsiaTheme="minorHAnsi" w:hAnsiTheme="minorHAnsi" w:cstheme="minorHAnsi"/>
          <w:i w:val="0"/>
          <w:spacing w:val="0"/>
          <w:sz w:val="22"/>
          <w:szCs w:val="22"/>
        </w:rPr>
        <w:t xml:space="preserve"> and pragmatic</w:t>
      </w:r>
      <w:r w:rsidRPr="00E056AE">
        <w:rPr>
          <w:rFonts w:asciiTheme="minorHAnsi" w:eastAsiaTheme="minorHAnsi" w:hAnsiTheme="minorHAnsi" w:cstheme="minorHAnsi"/>
          <w:i w:val="0"/>
          <w:spacing w:val="0"/>
          <w:sz w:val="22"/>
          <w:szCs w:val="22"/>
        </w:rPr>
        <w:t xml:space="preserve"> choice, in that the larger schedule of research in which this individual study sits will employ a substantial component of co-design</w:t>
      </w:r>
      <w:r w:rsidR="003925DD" w:rsidRPr="00E056AE">
        <w:rPr>
          <w:rFonts w:asciiTheme="minorHAnsi" w:eastAsiaTheme="minorHAnsi" w:hAnsiTheme="minorHAnsi" w:cstheme="minorHAnsi"/>
          <w:i w:val="0"/>
          <w:spacing w:val="0"/>
          <w:sz w:val="22"/>
          <w:szCs w:val="22"/>
        </w:rPr>
        <w:t xml:space="preserve"> and stakeholder engagement</w:t>
      </w:r>
      <w:r w:rsidRPr="00E056AE">
        <w:rPr>
          <w:rFonts w:asciiTheme="minorHAnsi" w:eastAsiaTheme="minorHAnsi" w:hAnsiTheme="minorHAnsi" w:cstheme="minorHAnsi"/>
          <w:i w:val="0"/>
          <w:spacing w:val="0"/>
          <w:sz w:val="22"/>
          <w:szCs w:val="22"/>
        </w:rPr>
        <w:t xml:space="preserve"> involving patient and service provider insights. This research, whilst primarily a</w:t>
      </w:r>
      <w:r w:rsidR="003925DD" w:rsidRPr="00E056AE">
        <w:rPr>
          <w:rFonts w:asciiTheme="minorHAnsi" w:eastAsiaTheme="minorHAnsi" w:hAnsiTheme="minorHAnsi" w:cstheme="minorHAnsi"/>
          <w:i w:val="0"/>
          <w:spacing w:val="0"/>
          <w:sz w:val="22"/>
          <w:szCs w:val="22"/>
        </w:rPr>
        <w:t>ddressing</w:t>
      </w:r>
      <w:r w:rsidRPr="00E056AE">
        <w:rPr>
          <w:rFonts w:asciiTheme="minorHAnsi" w:eastAsiaTheme="minorHAnsi" w:hAnsiTheme="minorHAnsi" w:cstheme="minorHAnsi"/>
          <w:i w:val="0"/>
          <w:spacing w:val="0"/>
          <w:sz w:val="22"/>
          <w:szCs w:val="22"/>
        </w:rPr>
        <w:t xml:space="preserve"> the research questions of interest</w:t>
      </w:r>
      <w:r w:rsidR="003925DD" w:rsidRPr="00E056AE">
        <w:rPr>
          <w:rFonts w:asciiTheme="minorHAnsi" w:eastAsiaTheme="minorHAnsi" w:hAnsiTheme="minorHAnsi" w:cstheme="minorHAnsi"/>
          <w:i w:val="0"/>
          <w:spacing w:val="0"/>
          <w:sz w:val="22"/>
          <w:szCs w:val="22"/>
        </w:rPr>
        <w:t>, and acting as a novel research study in itself</w:t>
      </w:r>
      <w:r w:rsidRPr="00E056AE">
        <w:rPr>
          <w:rFonts w:asciiTheme="minorHAnsi" w:eastAsiaTheme="minorHAnsi" w:hAnsiTheme="minorHAnsi" w:cstheme="minorHAnsi"/>
          <w:i w:val="0"/>
          <w:spacing w:val="0"/>
          <w:sz w:val="22"/>
          <w:szCs w:val="22"/>
        </w:rPr>
        <w:t>, will also act as a mechanism to later guide the co-design process involved in generating an intervention</w:t>
      </w:r>
      <w:r w:rsidR="003925DD" w:rsidRPr="00E056AE">
        <w:rPr>
          <w:rFonts w:asciiTheme="minorHAnsi" w:eastAsiaTheme="minorHAnsi" w:hAnsiTheme="minorHAnsi" w:cstheme="minorHAnsi"/>
          <w:i w:val="0"/>
          <w:spacing w:val="0"/>
          <w:sz w:val="22"/>
          <w:szCs w:val="22"/>
        </w:rPr>
        <w:t xml:space="preserve"> to improve</w:t>
      </w:r>
      <w:r w:rsidRPr="00E056AE">
        <w:rPr>
          <w:rFonts w:asciiTheme="minorHAnsi" w:eastAsiaTheme="minorHAnsi" w:hAnsiTheme="minorHAnsi" w:cstheme="minorHAnsi"/>
          <w:i w:val="0"/>
          <w:spacing w:val="0"/>
          <w:sz w:val="22"/>
          <w:szCs w:val="22"/>
        </w:rPr>
        <w:t xml:space="preserve"> patient</w:t>
      </w:r>
      <w:r w:rsidR="003925DD" w:rsidRPr="00E056AE">
        <w:rPr>
          <w:rFonts w:asciiTheme="minorHAnsi" w:eastAsiaTheme="minorHAnsi" w:hAnsiTheme="minorHAnsi" w:cstheme="minorHAnsi"/>
          <w:i w:val="0"/>
          <w:spacing w:val="0"/>
          <w:sz w:val="22"/>
          <w:szCs w:val="22"/>
        </w:rPr>
        <w:t xml:space="preserve"> </w:t>
      </w:r>
      <w:r w:rsidRPr="00E056AE">
        <w:rPr>
          <w:rFonts w:asciiTheme="minorHAnsi" w:eastAsiaTheme="minorHAnsi" w:hAnsiTheme="minorHAnsi" w:cstheme="minorHAnsi"/>
          <w:i w:val="0"/>
          <w:spacing w:val="0"/>
          <w:sz w:val="22"/>
          <w:szCs w:val="22"/>
        </w:rPr>
        <w:t>outcomes</w:t>
      </w:r>
      <w:r w:rsidR="003925DD" w:rsidRPr="00E056AE">
        <w:rPr>
          <w:rFonts w:asciiTheme="minorHAnsi" w:eastAsiaTheme="minorHAnsi" w:hAnsiTheme="minorHAnsi" w:cstheme="minorHAnsi"/>
          <w:i w:val="0"/>
          <w:spacing w:val="0"/>
          <w:sz w:val="22"/>
          <w:szCs w:val="22"/>
        </w:rPr>
        <w:t xml:space="preserve">. </w:t>
      </w:r>
      <w:r w:rsidR="00247175" w:rsidRPr="00E056AE">
        <w:rPr>
          <w:rFonts w:asciiTheme="minorHAnsi" w:eastAsiaTheme="minorHAnsi" w:hAnsiTheme="minorHAnsi" w:cstheme="minorHAnsi"/>
          <w:i w:val="0"/>
          <w:spacing w:val="0"/>
          <w:sz w:val="22"/>
          <w:szCs w:val="22"/>
        </w:rPr>
        <w:t>T</w:t>
      </w:r>
      <w:r w:rsidR="003925DD" w:rsidRPr="00E056AE">
        <w:rPr>
          <w:rFonts w:asciiTheme="minorHAnsi" w:eastAsiaTheme="minorHAnsi" w:hAnsiTheme="minorHAnsi" w:cstheme="minorHAnsi"/>
          <w:i w:val="0"/>
          <w:spacing w:val="0"/>
          <w:sz w:val="22"/>
          <w:szCs w:val="22"/>
        </w:rPr>
        <w:t xml:space="preserve">his research is part of our PPI and stakeholder engagement efforts when viewed in the context of the wider work to be produced. </w:t>
      </w:r>
      <w:r w:rsidRPr="00E056AE">
        <w:rPr>
          <w:rFonts w:asciiTheme="minorHAnsi" w:eastAsiaTheme="minorHAnsi" w:hAnsiTheme="minorHAnsi" w:cstheme="minorHAnsi"/>
          <w:i w:val="0"/>
          <w:spacing w:val="0"/>
          <w:sz w:val="22"/>
          <w:szCs w:val="22"/>
        </w:rPr>
        <w:t xml:space="preserve"> </w:t>
      </w:r>
    </w:p>
    <w:p w14:paraId="3EF92DBC" w14:textId="77777777" w:rsidR="000B2C52" w:rsidRPr="00E056AE" w:rsidRDefault="000B2C52" w:rsidP="000B2C52">
      <w:pPr>
        <w:autoSpaceDE w:val="0"/>
        <w:autoSpaceDN w:val="0"/>
        <w:adjustRightInd w:val="0"/>
        <w:spacing w:line="240" w:lineRule="auto"/>
        <w:rPr>
          <w:rFonts w:cstheme="minorHAnsi"/>
          <w:color w:val="0000FF"/>
          <w:szCs w:val="22"/>
        </w:rPr>
      </w:pPr>
    </w:p>
    <w:p w14:paraId="3E048706" w14:textId="5E7B61B6" w:rsidR="00475FDA" w:rsidRPr="00E056AE" w:rsidRDefault="00997241" w:rsidP="003802A1">
      <w:pPr>
        <w:autoSpaceDE w:val="0"/>
        <w:autoSpaceDN w:val="0"/>
        <w:adjustRightInd w:val="0"/>
        <w:spacing w:line="240" w:lineRule="auto"/>
        <w:rPr>
          <w:rFonts w:cstheme="minorHAnsi"/>
          <w:bCs/>
          <w:szCs w:val="22"/>
          <w:lang w:eastAsia="en-GB"/>
        </w:rPr>
      </w:pPr>
      <w:r w:rsidRPr="00E056AE">
        <w:rPr>
          <w:rFonts w:cstheme="minorHAnsi"/>
          <w:b/>
          <w:bCs/>
          <w:szCs w:val="22"/>
          <w:lang w:eastAsia="en-GB"/>
        </w:rPr>
        <w:t>8</w:t>
      </w:r>
      <w:r w:rsidR="006B6502" w:rsidRPr="00E056AE">
        <w:rPr>
          <w:rFonts w:cstheme="minorHAnsi"/>
          <w:b/>
          <w:bCs/>
          <w:szCs w:val="22"/>
          <w:lang w:eastAsia="en-GB"/>
        </w:rPr>
        <w:t>.</w:t>
      </w:r>
      <w:r w:rsidR="0074226F" w:rsidRPr="00E056AE">
        <w:rPr>
          <w:rFonts w:cstheme="minorHAnsi"/>
          <w:b/>
          <w:bCs/>
          <w:szCs w:val="22"/>
          <w:lang w:eastAsia="en-GB"/>
        </w:rPr>
        <w:t>5</w:t>
      </w:r>
      <w:r w:rsidR="00D027C8" w:rsidRPr="00E056AE">
        <w:rPr>
          <w:rFonts w:cstheme="minorHAnsi"/>
          <w:b/>
          <w:bCs/>
          <w:szCs w:val="22"/>
          <w:lang w:eastAsia="en-GB"/>
        </w:rPr>
        <w:tab/>
      </w:r>
      <w:r w:rsidR="006B6502" w:rsidRPr="00E056AE">
        <w:rPr>
          <w:rFonts w:cstheme="minorHAnsi"/>
          <w:b/>
          <w:bCs/>
          <w:szCs w:val="22"/>
          <w:lang w:eastAsia="en-GB"/>
        </w:rPr>
        <w:t>Protocol c</w:t>
      </w:r>
      <w:r w:rsidR="00475FDA" w:rsidRPr="00E056AE">
        <w:rPr>
          <w:rFonts w:cstheme="minorHAnsi"/>
          <w:b/>
          <w:bCs/>
          <w:szCs w:val="22"/>
          <w:lang w:eastAsia="en-GB"/>
        </w:rPr>
        <w:t xml:space="preserve">ompliance </w:t>
      </w:r>
    </w:p>
    <w:p w14:paraId="65D8B131" w14:textId="4054B869" w:rsidR="00D82D0A" w:rsidRPr="00E056AE" w:rsidRDefault="00127DA4"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 xml:space="preserve">Compliance will be managed through adequate training of all </w:t>
      </w:r>
      <w:r w:rsidR="009B42E1" w:rsidRPr="00E056AE">
        <w:rPr>
          <w:rFonts w:cstheme="minorHAnsi"/>
          <w:bCs/>
          <w:szCs w:val="22"/>
          <w:lang w:eastAsia="en-GB"/>
        </w:rPr>
        <w:t>research team members</w:t>
      </w:r>
      <w:r w:rsidRPr="00E056AE">
        <w:rPr>
          <w:rFonts w:cstheme="minorHAnsi"/>
          <w:bCs/>
          <w:szCs w:val="22"/>
          <w:lang w:eastAsia="en-GB"/>
        </w:rPr>
        <w:t xml:space="preserve"> in the full study protocol. The completed and approved protocol, alongside all materials associated with the study will be provided to each member of the research team</w:t>
      </w:r>
      <w:r w:rsidR="00D82D0A" w:rsidRPr="00E056AE">
        <w:rPr>
          <w:rFonts w:cstheme="minorHAnsi"/>
          <w:bCs/>
          <w:szCs w:val="22"/>
          <w:lang w:eastAsia="en-GB"/>
        </w:rPr>
        <w:t>.</w:t>
      </w:r>
      <w:r w:rsidRPr="00E056AE">
        <w:rPr>
          <w:rFonts w:cstheme="minorHAnsi"/>
          <w:bCs/>
          <w:szCs w:val="22"/>
          <w:lang w:eastAsia="en-GB"/>
        </w:rPr>
        <w:t xml:space="preserve"> </w:t>
      </w:r>
      <w:r w:rsidR="00D82D0A" w:rsidRPr="00E056AE">
        <w:rPr>
          <w:rFonts w:cstheme="minorHAnsi"/>
          <w:bCs/>
          <w:szCs w:val="22"/>
          <w:lang w:eastAsia="en-GB"/>
        </w:rPr>
        <w:t xml:space="preserve">A </w:t>
      </w:r>
      <w:r w:rsidRPr="00E056AE">
        <w:rPr>
          <w:rFonts w:cstheme="minorHAnsi"/>
          <w:bCs/>
          <w:szCs w:val="22"/>
          <w:lang w:eastAsia="en-GB"/>
        </w:rPr>
        <w:t xml:space="preserve">session </w:t>
      </w:r>
      <w:r w:rsidR="00D82D0A" w:rsidRPr="00E056AE">
        <w:rPr>
          <w:rFonts w:cstheme="minorHAnsi"/>
          <w:bCs/>
          <w:szCs w:val="22"/>
          <w:lang w:eastAsia="en-GB"/>
        </w:rPr>
        <w:t xml:space="preserve">will be </w:t>
      </w:r>
      <w:r w:rsidRPr="00E056AE">
        <w:rPr>
          <w:rFonts w:cstheme="minorHAnsi"/>
          <w:bCs/>
          <w:szCs w:val="22"/>
          <w:lang w:eastAsia="en-GB"/>
        </w:rPr>
        <w:t>organised amongst the team to reinforce points from the protocol and to ensure</w:t>
      </w:r>
      <w:r w:rsidR="00D82D0A" w:rsidRPr="00E056AE">
        <w:rPr>
          <w:rFonts w:cstheme="minorHAnsi"/>
          <w:bCs/>
          <w:szCs w:val="22"/>
          <w:lang w:eastAsia="en-GB"/>
        </w:rPr>
        <w:t xml:space="preserve"> members of the team understand the process and need for protocol compliance.</w:t>
      </w:r>
    </w:p>
    <w:p w14:paraId="3E606D4A" w14:textId="5F8104E5" w:rsidR="003E705A" w:rsidRPr="00E056AE" w:rsidRDefault="00D82D0A"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Compliance will be reviewed on a fortnightly basis as a minimum, particularly during the interview and focus group data collection processes, though any deviations from the protocol should be self-reported as soon as possible after the time at which they occurred, which would trigger an internal review of the protocol and need for compliance amongst the team sooner.</w:t>
      </w:r>
      <w:r w:rsidR="00127DA4" w:rsidRPr="00E056AE">
        <w:rPr>
          <w:rFonts w:cstheme="minorHAnsi"/>
          <w:bCs/>
          <w:szCs w:val="22"/>
          <w:lang w:eastAsia="en-GB"/>
        </w:rPr>
        <w:t xml:space="preserve"> </w:t>
      </w:r>
    </w:p>
    <w:p w14:paraId="7E3C6E8A" w14:textId="34894FF2" w:rsidR="00D82D0A" w:rsidRPr="00E056AE" w:rsidRDefault="00D82D0A"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Accidental protocol deviations can happen at any time, though these will be adequately documented and archived and reported to the Chief Investigator and Sponsor immediately. Repeated, frequent deviations from the agreed protocol are unacceptable and will require immediate reporting and action, and we accept this could potentially be classified as a serious breach.</w:t>
      </w:r>
    </w:p>
    <w:p w14:paraId="72449A45" w14:textId="77777777" w:rsidR="00475FDA" w:rsidRPr="00E056AE" w:rsidRDefault="00475FDA" w:rsidP="003802A1">
      <w:pPr>
        <w:pStyle w:val="Heading3"/>
        <w:spacing w:before="0" w:after="120" w:line="240" w:lineRule="auto"/>
        <w:rPr>
          <w:rFonts w:asciiTheme="minorHAnsi" w:hAnsiTheme="minorHAnsi" w:cstheme="minorHAnsi"/>
          <w:color w:val="FF0000"/>
          <w:szCs w:val="22"/>
        </w:rPr>
      </w:pPr>
      <w:bookmarkStart w:id="1" w:name="_Toc303179291"/>
    </w:p>
    <w:bookmarkEnd w:id="1"/>
    <w:p w14:paraId="03D72EE1" w14:textId="3DF9F1DC" w:rsidR="00475FDA" w:rsidRPr="00E056AE" w:rsidRDefault="00997241" w:rsidP="003802A1">
      <w:pPr>
        <w:autoSpaceDE w:val="0"/>
        <w:autoSpaceDN w:val="0"/>
        <w:adjustRightInd w:val="0"/>
        <w:spacing w:line="240" w:lineRule="auto"/>
        <w:rPr>
          <w:rFonts w:cstheme="minorHAnsi"/>
          <w:b/>
          <w:bCs/>
          <w:szCs w:val="22"/>
          <w:lang w:eastAsia="en-GB"/>
        </w:rPr>
      </w:pPr>
      <w:r w:rsidRPr="00E056AE">
        <w:rPr>
          <w:rFonts w:cstheme="minorHAnsi"/>
          <w:b/>
          <w:bCs/>
          <w:szCs w:val="22"/>
          <w:lang w:eastAsia="en-GB"/>
        </w:rPr>
        <w:t>8</w:t>
      </w:r>
      <w:r w:rsidR="00485F3F" w:rsidRPr="00E056AE">
        <w:rPr>
          <w:rFonts w:cstheme="minorHAnsi"/>
          <w:b/>
          <w:bCs/>
          <w:szCs w:val="22"/>
          <w:lang w:eastAsia="en-GB"/>
        </w:rPr>
        <w:t>.</w:t>
      </w:r>
      <w:r w:rsidR="0074226F" w:rsidRPr="00E056AE">
        <w:rPr>
          <w:rFonts w:cstheme="minorHAnsi"/>
          <w:b/>
          <w:bCs/>
          <w:szCs w:val="22"/>
          <w:lang w:eastAsia="en-GB"/>
        </w:rPr>
        <w:t>6</w:t>
      </w:r>
      <w:r w:rsidR="00864F75" w:rsidRPr="00E056AE">
        <w:rPr>
          <w:rFonts w:cstheme="minorHAnsi"/>
          <w:b/>
          <w:bCs/>
          <w:szCs w:val="22"/>
          <w:lang w:eastAsia="en-GB"/>
        </w:rPr>
        <w:tab/>
        <w:t>Data protection and patient c</w:t>
      </w:r>
      <w:r w:rsidR="00475FDA" w:rsidRPr="00E056AE">
        <w:rPr>
          <w:rFonts w:cstheme="minorHAnsi"/>
          <w:b/>
          <w:bCs/>
          <w:szCs w:val="22"/>
          <w:lang w:eastAsia="en-GB"/>
        </w:rPr>
        <w:t xml:space="preserve">onfidentiality </w:t>
      </w:r>
    </w:p>
    <w:p w14:paraId="38C05073" w14:textId="6798828A" w:rsidR="00921152" w:rsidRPr="00E056AE" w:rsidRDefault="00921152"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 xml:space="preserve">All investigators and study site staff </w:t>
      </w:r>
      <w:r w:rsidR="009B42E1" w:rsidRPr="00E056AE">
        <w:rPr>
          <w:rFonts w:cstheme="minorHAnsi"/>
          <w:bCs/>
          <w:szCs w:val="22"/>
          <w:lang w:eastAsia="en-GB"/>
        </w:rPr>
        <w:t>will</w:t>
      </w:r>
      <w:r w:rsidRPr="00E056AE">
        <w:rPr>
          <w:rFonts w:cstheme="minorHAnsi"/>
          <w:bCs/>
          <w:szCs w:val="22"/>
          <w:lang w:eastAsia="en-GB"/>
        </w:rPr>
        <w:t xml:space="preserve"> comply with the requirements of the Data Protection Act 2018 with regards to the collection, storage, processing and disclosure of personal information and will uphold the act’s core principles.</w:t>
      </w:r>
      <w:r w:rsidR="00C150CA" w:rsidRPr="00E056AE">
        <w:rPr>
          <w:rFonts w:cstheme="minorHAnsi"/>
          <w:bCs/>
          <w:szCs w:val="22"/>
          <w:lang w:eastAsia="en-GB"/>
        </w:rPr>
        <w:fldChar w:fldCharType="begin" w:fldLock="1"/>
      </w:r>
      <w:r w:rsidR="009553AE" w:rsidRPr="00E056AE">
        <w:rPr>
          <w:rFonts w:cstheme="minorHAnsi"/>
          <w:bCs/>
          <w:szCs w:val="22"/>
          <w:lang w:eastAsia="en-GB"/>
        </w:rPr>
        <w:instrText>ADDIN CSL_CITATION {"citationItems":[{"id":"ITEM-1","itemData":{"id":"ITEM-1","issued":{"date-parts":[["0"]]},"publisher":"Queen's Printer of Acts of Parliament","title":"Data Protection Act 2018","type":"article-journal"},"uris":["http://www.mendeley.com/documents/?uuid=7e17fb76-6da4-39c7-8e9f-46853ea42fb3"]}],"mendeley":{"formattedCitation":"&lt;sup&gt;27&lt;/sup&gt;","plainTextFormattedCitation":"27","previouslyFormattedCitation":"&lt;sup&gt;27&lt;/sup&gt;"},"properties":{"noteIndex":0},"schema":"https://github.com/citation-style-language/schema/raw/master/csl-citation.json"}</w:instrText>
      </w:r>
      <w:r w:rsidR="00C150CA" w:rsidRPr="00E056AE">
        <w:rPr>
          <w:rFonts w:cstheme="minorHAnsi"/>
          <w:bCs/>
          <w:szCs w:val="22"/>
          <w:lang w:eastAsia="en-GB"/>
        </w:rPr>
        <w:fldChar w:fldCharType="separate"/>
      </w:r>
      <w:r w:rsidR="009553AE" w:rsidRPr="00E056AE">
        <w:rPr>
          <w:rFonts w:cstheme="minorHAnsi"/>
          <w:bCs/>
          <w:noProof/>
          <w:szCs w:val="22"/>
          <w:vertAlign w:val="superscript"/>
          <w:lang w:eastAsia="en-GB"/>
        </w:rPr>
        <w:t>27</w:t>
      </w:r>
      <w:r w:rsidR="00C150CA" w:rsidRPr="00E056AE">
        <w:rPr>
          <w:rFonts w:cstheme="minorHAnsi"/>
          <w:bCs/>
          <w:szCs w:val="22"/>
          <w:lang w:eastAsia="en-GB"/>
        </w:rPr>
        <w:fldChar w:fldCharType="end"/>
      </w:r>
      <w:r w:rsidR="00811F2F" w:rsidRPr="00E056AE">
        <w:rPr>
          <w:rFonts w:cstheme="minorHAnsi"/>
          <w:bCs/>
          <w:szCs w:val="22"/>
          <w:lang w:eastAsia="en-GB"/>
        </w:rPr>
        <w:t xml:space="preserve"> We will also comply with the General Data Protection Regulations (GDPR)</w:t>
      </w:r>
      <w:r w:rsidR="00C150CA" w:rsidRPr="00E056AE">
        <w:rPr>
          <w:rFonts w:cstheme="minorHAnsi"/>
          <w:bCs/>
          <w:szCs w:val="22"/>
          <w:lang w:eastAsia="en-GB"/>
        </w:rPr>
        <w:t>.</w:t>
      </w:r>
      <w:r w:rsidR="00C150CA" w:rsidRPr="00E056AE">
        <w:rPr>
          <w:rFonts w:cstheme="minorHAnsi"/>
          <w:bCs/>
          <w:szCs w:val="22"/>
          <w:lang w:eastAsia="en-GB"/>
        </w:rPr>
        <w:fldChar w:fldCharType="begin" w:fldLock="1"/>
      </w:r>
      <w:r w:rsidR="009553AE" w:rsidRPr="00E056AE">
        <w:rPr>
          <w:rFonts w:cstheme="minorHAnsi"/>
          <w:bCs/>
          <w:szCs w:val="22"/>
          <w:lang w:eastAsia="en-GB"/>
        </w:rPr>
        <w:instrText>ADDIN CSL_CITATION {"citationItems":[{"id":"ITEM-1","itemData":{"author":[{"dropping-particle":"","family":"European Parliament and the Council of the European Union","given":"","non-dropping-particle":"","parse-names":false,"suffix":""}],"id":"ITEM-1","issued":{"date-parts":[["2016"]]},"title":"Regulation (EU) 2016/679 of the European Parliament and of the Council of 27 April 2016 on the protection of natural persons with regard to the processing of personal data and on the free movement of such data, and repealing Directive 95/46/EC (General Data Protection Regulation)","type":"report"},"uris":["http://www.mendeley.com/documents/?uuid=8878c7b7-450b-3a8c-bbb8-08691213325d"]}],"mendeley":{"formattedCitation":"&lt;sup&gt;28&lt;/sup&gt;","plainTextFormattedCitation":"28","previouslyFormattedCitation":"&lt;sup&gt;28&lt;/sup&gt;"},"properties":{"noteIndex":0},"schema":"https://github.com/citation-style-language/schema/raw/master/csl-citation.json"}</w:instrText>
      </w:r>
      <w:r w:rsidR="00C150CA" w:rsidRPr="00E056AE">
        <w:rPr>
          <w:rFonts w:cstheme="minorHAnsi"/>
          <w:bCs/>
          <w:szCs w:val="22"/>
          <w:lang w:eastAsia="en-GB"/>
        </w:rPr>
        <w:fldChar w:fldCharType="separate"/>
      </w:r>
      <w:r w:rsidR="009553AE" w:rsidRPr="00E056AE">
        <w:rPr>
          <w:rFonts w:cstheme="minorHAnsi"/>
          <w:bCs/>
          <w:noProof/>
          <w:szCs w:val="22"/>
          <w:vertAlign w:val="superscript"/>
          <w:lang w:eastAsia="en-GB"/>
        </w:rPr>
        <w:t>28</w:t>
      </w:r>
      <w:r w:rsidR="00C150CA" w:rsidRPr="00E056AE">
        <w:rPr>
          <w:rFonts w:cstheme="minorHAnsi"/>
          <w:bCs/>
          <w:szCs w:val="22"/>
          <w:lang w:eastAsia="en-GB"/>
        </w:rPr>
        <w:fldChar w:fldCharType="end"/>
      </w:r>
      <w:r w:rsidR="00C150CA" w:rsidRPr="00E056AE">
        <w:rPr>
          <w:rFonts w:cstheme="minorHAnsi"/>
          <w:bCs/>
          <w:szCs w:val="22"/>
          <w:lang w:eastAsia="en-GB"/>
        </w:rPr>
        <w:t xml:space="preserve"> Furthermore, the research design has consideration for the UK Policy Framework for Health and Social Care Research which also covers aspects of protection and patient confidentiality.</w:t>
      </w:r>
      <w:r w:rsidR="00C150CA" w:rsidRPr="00E056AE">
        <w:rPr>
          <w:rFonts w:cstheme="minorHAnsi"/>
          <w:bCs/>
          <w:szCs w:val="22"/>
          <w:lang w:eastAsia="en-GB"/>
        </w:rPr>
        <w:fldChar w:fldCharType="begin" w:fldLock="1"/>
      </w:r>
      <w:r w:rsidR="009553AE" w:rsidRPr="00E056AE">
        <w:rPr>
          <w:rFonts w:cstheme="minorHAnsi"/>
          <w:bCs/>
          <w:szCs w:val="22"/>
          <w:lang w:eastAsia="en-GB"/>
        </w:rPr>
        <w:instrText>ADDIN CSL_CITATION {"citationItems":[{"id":"ITEM-1","itemData":{"URL":"https://www.hra.nhs.uk/planning-and-improving-research/policies-standards-legislation/uk-policy-framework-health-social-care-research/","accessed":{"date-parts":[["2018","12","7"]]},"author":[{"dropping-particle":"","family":"Health Research Authority","given":"","non-dropping-particle":"","parse-names":false,"suffix":""}],"id":"ITEM-1","issued":{"date-parts":[["2018"]]},"title":"UK Policy Framework for Health and Social Care Research - Health Research Authority","type":"webpage"},"uris":["http://www.mendeley.com/documents/?uuid=0eb52481-3822-34d5-84e4-fad2b053ae14"]}],"mendeley":{"formattedCitation":"&lt;sup&gt;29&lt;/sup&gt;","plainTextFormattedCitation":"29","previouslyFormattedCitation":"&lt;sup&gt;29&lt;/sup&gt;"},"properties":{"noteIndex":0},"schema":"https://github.com/citation-style-language/schema/raw/master/csl-citation.json"}</w:instrText>
      </w:r>
      <w:r w:rsidR="00C150CA" w:rsidRPr="00E056AE">
        <w:rPr>
          <w:rFonts w:cstheme="minorHAnsi"/>
          <w:bCs/>
          <w:szCs w:val="22"/>
          <w:lang w:eastAsia="en-GB"/>
        </w:rPr>
        <w:fldChar w:fldCharType="separate"/>
      </w:r>
      <w:r w:rsidR="009553AE" w:rsidRPr="00E056AE">
        <w:rPr>
          <w:rFonts w:cstheme="minorHAnsi"/>
          <w:bCs/>
          <w:noProof/>
          <w:szCs w:val="22"/>
          <w:vertAlign w:val="superscript"/>
          <w:lang w:eastAsia="en-GB"/>
        </w:rPr>
        <w:t>29</w:t>
      </w:r>
      <w:r w:rsidR="00C150CA" w:rsidRPr="00E056AE">
        <w:rPr>
          <w:rFonts w:cstheme="minorHAnsi"/>
          <w:bCs/>
          <w:szCs w:val="22"/>
          <w:lang w:eastAsia="en-GB"/>
        </w:rPr>
        <w:fldChar w:fldCharType="end"/>
      </w:r>
    </w:p>
    <w:p w14:paraId="0CB8206C" w14:textId="19B446D4" w:rsidR="00394920" w:rsidRPr="00E056AE" w:rsidRDefault="008C359C"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We are actively seeking to</w:t>
      </w:r>
      <w:r w:rsidR="00C150CA" w:rsidRPr="00E056AE">
        <w:rPr>
          <w:rFonts w:cstheme="minorHAnsi"/>
          <w:bCs/>
          <w:szCs w:val="22"/>
          <w:lang w:eastAsia="en-GB"/>
        </w:rPr>
        <w:t xml:space="preserve"> collect de-identified data from the outset of the research and</w:t>
      </w:r>
      <w:r w:rsidRPr="00E056AE">
        <w:rPr>
          <w:rFonts w:cstheme="minorHAnsi"/>
          <w:bCs/>
          <w:szCs w:val="22"/>
          <w:lang w:eastAsia="en-GB"/>
        </w:rPr>
        <w:t xml:space="preserve"> implement data minimisation as per GDPR</w:t>
      </w:r>
      <w:r w:rsidR="00C150CA" w:rsidRPr="00E056AE">
        <w:rPr>
          <w:rFonts w:cstheme="minorHAnsi"/>
          <w:bCs/>
          <w:szCs w:val="22"/>
          <w:lang w:eastAsia="en-GB"/>
        </w:rPr>
        <w:t>.</w:t>
      </w:r>
      <w:r w:rsidR="00394920" w:rsidRPr="00E056AE">
        <w:rPr>
          <w:rFonts w:cstheme="minorHAnsi"/>
          <w:bCs/>
          <w:szCs w:val="22"/>
          <w:lang w:eastAsia="en-GB"/>
        </w:rPr>
        <w:t xml:space="preserve"> Information that can be used to directly identify participants, particularly </w:t>
      </w:r>
      <w:r w:rsidR="000C7CA4" w:rsidRPr="00E056AE">
        <w:rPr>
          <w:rFonts w:cstheme="minorHAnsi"/>
          <w:bCs/>
          <w:szCs w:val="22"/>
          <w:lang w:eastAsia="en-GB"/>
        </w:rPr>
        <w:t>names, will only be included as part of the formal signing of consent forms by participants</w:t>
      </w:r>
      <w:r w:rsidR="00394920" w:rsidRPr="00E056AE">
        <w:rPr>
          <w:rFonts w:cstheme="minorHAnsi"/>
          <w:bCs/>
          <w:szCs w:val="22"/>
          <w:lang w:eastAsia="en-GB"/>
        </w:rPr>
        <w:t xml:space="preserve">. </w:t>
      </w:r>
      <w:r w:rsidR="00921152" w:rsidRPr="00E056AE">
        <w:rPr>
          <w:rFonts w:cstheme="minorHAnsi"/>
          <w:bCs/>
          <w:szCs w:val="22"/>
          <w:lang w:eastAsia="en-GB"/>
        </w:rPr>
        <w:t xml:space="preserve"> </w:t>
      </w:r>
      <w:r w:rsidR="009B42E1" w:rsidRPr="00E056AE">
        <w:rPr>
          <w:rFonts w:cstheme="minorHAnsi"/>
          <w:bCs/>
          <w:szCs w:val="22"/>
          <w:lang w:eastAsia="en-GB"/>
        </w:rPr>
        <w:t>Exceptions</w:t>
      </w:r>
      <w:r w:rsidR="00921152" w:rsidRPr="00E056AE">
        <w:rPr>
          <w:rFonts w:cstheme="minorHAnsi"/>
          <w:bCs/>
          <w:szCs w:val="22"/>
          <w:lang w:eastAsia="en-GB"/>
        </w:rPr>
        <w:t xml:space="preserve">, which could be considered indirect identifiers, are factors such as country of birth and migrant status (for patient participants), and </w:t>
      </w:r>
      <w:r w:rsidR="00FB320D" w:rsidRPr="00E056AE">
        <w:rPr>
          <w:rFonts w:cstheme="minorHAnsi"/>
          <w:bCs/>
          <w:szCs w:val="22"/>
          <w:lang w:eastAsia="en-GB"/>
        </w:rPr>
        <w:t xml:space="preserve">occupation/professional experience (for </w:t>
      </w:r>
      <w:r w:rsidR="00101C69" w:rsidRPr="00E056AE">
        <w:rPr>
          <w:rFonts w:cstheme="minorHAnsi"/>
          <w:bCs/>
          <w:szCs w:val="22"/>
          <w:lang w:eastAsia="en-GB"/>
        </w:rPr>
        <w:t xml:space="preserve">health-service </w:t>
      </w:r>
      <w:r w:rsidR="00101C69" w:rsidRPr="00E056AE">
        <w:rPr>
          <w:rFonts w:cstheme="minorHAnsi"/>
          <w:bCs/>
          <w:szCs w:val="22"/>
          <w:lang w:eastAsia="en-GB"/>
        </w:rPr>
        <w:lastRenderedPageBreak/>
        <w:t>providers</w:t>
      </w:r>
      <w:r w:rsidR="00FB320D" w:rsidRPr="00E056AE">
        <w:rPr>
          <w:rFonts w:cstheme="minorHAnsi"/>
          <w:bCs/>
          <w:szCs w:val="22"/>
          <w:lang w:eastAsia="en-GB"/>
        </w:rPr>
        <w:t>)</w:t>
      </w:r>
      <w:r w:rsidR="00247175" w:rsidRPr="00E056AE">
        <w:rPr>
          <w:rFonts w:cstheme="minorHAnsi"/>
          <w:bCs/>
          <w:szCs w:val="22"/>
          <w:lang w:eastAsia="en-GB"/>
        </w:rPr>
        <w:t>, data which will be acquired outside of the recorded interview and so will not appear on audiotapes being sent to transcription/translation services</w:t>
      </w:r>
      <w:r w:rsidR="00FB320D" w:rsidRPr="00E056AE">
        <w:rPr>
          <w:rFonts w:cstheme="minorHAnsi"/>
          <w:bCs/>
          <w:szCs w:val="22"/>
          <w:lang w:eastAsia="en-GB"/>
        </w:rPr>
        <w:t>.</w:t>
      </w:r>
      <w:r w:rsidR="00394920" w:rsidRPr="00E056AE">
        <w:rPr>
          <w:rFonts w:cstheme="minorHAnsi"/>
          <w:bCs/>
          <w:szCs w:val="22"/>
          <w:lang w:eastAsia="en-GB"/>
        </w:rPr>
        <w:t xml:space="preserve"> Such data collection and processing are directly relevant to our research, in exploring differences in experience between sub-groups of our target population</w:t>
      </w:r>
      <w:r w:rsidR="009B42E1" w:rsidRPr="00E056AE">
        <w:rPr>
          <w:rFonts w:cstheme="minorHAnsi"/>
          <w:bCs/>
          <w:szCs w:val="22"/>
          <w:lang w:eastAsia="en-GB"/>
        </w:rPr>
        <w:t>, and in validating we are recruiting the appropriate population</w:t>
      </w:r>
      <w:r w:rsidR="00394920" w:rsidRPr="00E056AE">
        <w:rPr>
          <w:rFonts w:cstheme="minorHAnsi"/>
          <w:bCs/>
          <w:szCs w:val="22"/>
          <w:lang w:eastAsia="en-GB"/>
        </w:rPr>
        <w:t>, and such data is ultimately collected in the public interest.</w:t>
      </w:r>
    </w:p>
    <w:p w14:paraId="1810763F" w14:textId="50F8F42A" w:rsidR="00FB320D" w:rsidRPr="00E056AE" w:rsidRDefault="00394920"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Information which could lead to the direct identification of participants, such as a</w:t>
      </w:r>
      <w:r w:rsidR="00FB320D" w:rsidRPr="00E056AE">
        <w:rPr>
          <w:rFonts w:cstheme="minorHAnsi"/>
          <w:bCs/>
          <w:szCs w:val="22"/>
          <w:lang w:eastAsia="en-GB"/>
        </w:rPr>
        <w:t xml:space="preserve">ddresses, phone numbers and email will only be collected as a means of </w:t>
      </w:r>
      <w:r w:rsidRPr="00E056AE">
        <w:rPr>
          <w:rFonts w:cstheme="minorHAnsi"/>
          <w:bCs/>
          <w:szCs w:val="22"/>
          <w:lang w:eastAsia="en-GB"/>
        </w:rPr>
        <w:t>upholding the individual rights of participants, (such as the right to be informed). At no point is this information to be collected and processed as part of our research question.</w:t>
      </w:r>
      <w:r w:rsidR="008145FF" w:rsidRPr="00E056AE">
        <w:rPr>
          <w:rFonts w:cstheme="minorHAnsi"/>
          <w:bCs/>
          <w:szCs w:val="22"/>
          <w:lang w:eastAsia="en-GB"/>
        </w:rPr>
        <w:t xml:space="preserve"> Any contact information for migrant-patient participants will only be collected upon said participant signing a consent form, and confirming they’d like to be contacted with updates regarding the research in the future</w:t>
      </w:r>
      <w:r w:rsidR="00FF398C" w:rsidRPr="00E056AE">
        <w:rPr>
          <w:rFonts w:cstheme="minorHAnsi"/>
          <w:bCs/>
          <w:szCs w:val="22"/>
          <w:lang w:eastAsia="en-GB"/>
        </w:rPr>
        <w:t>, or to be involved in similar research</w:t>
      </w:r>
      <w:r w:rsidR="00B2026D" w:rsidRPr="00E056AE">
        <w:rPr>
          <w:rFonts w:cstheme="minorHAnsi"/>
          <w:bCs/>
          <w:szCs w:val="22"/>
          <w:lang w:eastAsia="en-GB"/>
        </w:rPr>
        <w:t xml:space="preserve"> or public engagement </w:t>
      </w:r>
      <w:proofErr w:type="spellStart"/>
      <w:r w:rsidR="00B2026D" w:rsidRPr="00E056AE">
        <w:rPr>
          <w:rFonts w:cstheme="minorHAnsi"/>
          <w:bCs/>
          <w:szCs w:val="22"/>
          <w:lang w:eastAsia="en-GB"/>
        </w:rPr>
        <w:t>effortd</w:t>
      </w:r>
      <w:proofErr w:type="spellEnd"/>
      <w:r w:rsidR="00FF398C" w:rsidRPr="00E056AE">
        <w:rPr>
          <w:rFonts w:cstheme="minorHAnsi"/>
          <w:bCs/>
          <w:szCs w:val="22"/>
          <w:lang w:eastAsia="en-GB"/>
        </w:rPr>
        <w:t xml:space="preserve"> going forwards</w:t>
      </w:r>
      <w:r w:rsidR="008145FF" w:rsidRPr="00E056AE">
        <w:rPr>
          <w:rFonts w:cstheme="minorHAnsi"/>
          <w:bCs/>
          <w:szCs w:val="22"/>
          <w:lang w:eastAsia="en-GB"/>
        </w:rPr>
        <w:t>.</w:t>
      </w:r>
      <w:r w:rsidR="005A51CF" w:rsidRPr="00E056AE">
        <w:rPr>
          <w:rFonts w:cstheme="minorHAnsi"/>
          <w:bCs/>
          <w:szCs w:val="22"/>
          <w:lang w:eastAsia="en-GB"/>
        </w:rPr>
        <w:t xml:space="preserve"> Before this point contact and meetings with migrant patient participants will be mediated through clinical staff at St. George’s Hospital and Croydon University Hospital. </w:t>
      </w:r>
    </w:p>
    <w:p w14:paraId="2D397E1D" w14:textId="2DC84A75" w:rsidR="00394920" w:rsidRPr="00E056AE" w:rsidRDefault="00394920" w:rsidP="003802A1">
      <w:pPr>
        <w:autoSpaceDE w:val="0"/>
        <w:autoSpaceDN w:val="0"/>
        <w:adjustRightInd w:val="0"/>
        <w:spacing w:line="240" w:lineRule="auto"/>
        <w:rPr>
          <w:rFonts w:cstheme="minorHAnsi"/>
          <w:bCs/>
          <w:szCs w:val="22"/>
          <w:lang w:eastAsia="en-GB"/>
        </w:rPr>
      </w:pPr>
      <w:r w:rsidRPr="00E056AE">
        <w:rPr>
          <w:rFonts w:cstheme="minorHAnsi"/>
          <w:bCs/>
          <w:szCs w:val="22"/>
          <w:lang w:eastAsia="en-GB"/>
        </w:rPr>
        <w:t xml:space="preserve">Collected data relating to individuals will be pseudonymised, using a unique numerical and date reference as the means to identify individual data sets. Such a system will ensure the anonymity of the </w:t>
      </w:r>
      <w:r w:rsidR="00F24288" w:rsidRPr="00E056AE">
        <w:rPr>
          <w:rFonts w:cstheme="minorHAnsi"/>
          <w:bCs/>
          <w:szCs w:val="22"/>
          <w:lang w:eastAsia="en-GB"/>
        </w:rPr>
        <w:t>participants and</w:t>
      </w:r>
      <w:r w:rsidRPr="00E056AE">
        <w:rPr>
          <w:rFonts w:cstheme="minorHAnsi"/>
          <w:bCs/>
          <w:szCs w:val="22"/>
          <w:lang w:eastAsia="en-GB"/>
        </w:rPr>
        <w:t xml:space="preserve"> allow identification of individual data sets should a participant wish to exercise their individual rights (such as access, rectification or erasure).</w:t>
      </w:r>
    </w:p>
    <w:p w14:paraId="763EF323" w14:textId="5F32DD4F" w:rsidR="00F24288" w:rsidRPr="00E056AE" w:rsidRDefault="00F24288" w:rsidP="00F24288">
      <w:pPr>
        <w:rPr>
          <w:rFonts w:cstheme="minorHAnsi"/>
        </w:rPr>
      </w:pPr>
      <w:r w:rsidRPr="00E056AE">
        <w:rPr>
          <w:rFonts w:cstheme="minorHAnsi"/>
        </w:rPr>
        <w:t xml:space="preserve">With regards to storage and transfer, any hand-written notes will be kept in a secure office, within a locked filing unit. Any electronic Word documents will be individually password protected, and only stored on password protected devices (laptop, hard-drive). Audio recording will be via password locked phones, or if by unprotected voice recorders, transferred to a password locked device after the interview/focus group, at which point the original recording will be deleted. Transfer of any files </w:t>
      </w:r>
      <w:r w:rsidR="00633E19" w:rsidRPr="00E056AE">
        <w:rPr>
          <w:rFonts w:cstheme="minorHAnsi"/>
        </w:rPr>
        <w:t xml:space="preserve">between research team members </w:t>
      </w:r>
      <w:r w:rsidRPr="00E056AE">
        <w:rPr>
          <w:rFonts w:cstheme="minorHAnsi"/>
        </w:rPr>
        <w:t>will only occur via password protected devices (USB stick/external hard-drive).</w:t>
      </w:r>
      <w:r w:rsidR="00633E19" w:rsidRPr="00E056AE">
        <w:rPr>
          <w:rFonts w:cstheme="minorHAnsi"/>
        </w:rPr>
        <w:t xml:space="preserve"> Where audio files require translation</w:t>
      </w:r>
      <w:r w:rsidRPr="00E056AE">
        <w:rPr>
          <w:rFonts w:cstheme="minorHAnsi"/>
        </w:rPr>
        <w:t xml:space="preserve"> </w:t>
      </w:r>
      <w:r w:rsidR="00B64FFF" w:rsidRPr="00E056AE">
        <w:rPr>
          <w:rFonts w:cstheme="minorHAnsi"/>
        </w:rPr>
        <w:t xml:space="preserve">access </w:t>
      </w:r>
      <w:r w:rsidR="000C7CA4" w:rsidRPr="00E056AE">
        <w:rPr>
          <w:rFonts w:cstheme="minorHAnsi"/>
        </w:rPr>
        <w:t>will be provided to translation services via emailing audio files in password protected files, the password will be sent in separate email correspondence</w:t>
      </w:r>
      <w:r w:rsidRPr="00E056AE">
        <w:rPr>
          <w:rFonts w:cstheme="minorHAnsi"/>
        </w:rPr>
        <w:t xml:space="preserve">. At no point will data be stored on web or </w:t>
      </w:r>
      <w:r w:rsidR="00C23AE0" w:rsidRPr="00E056AE">
        <w:rPr>
          <w:rFonts w:cstheme="minorHAnsi"/>
        </w:rPr>
        <w:t>cloud-based</w:t>
      </w:r>
      <w:r w:rsidRPr="00E056AE">
        <w:rPr>
          <w:rFonts w:cstheme="minorHAnsi"/>
        </w:rPr>
        <w:t xml:space="preserve"> applications</w:t>
      </w:r>
      <w:r w:rsidR="000C7CA4" w:rsidRPr="00E056AE">
        <w:rPr>
          <w:rFonts w:cstheme="minorHAnsi"/>
        </w:rPr>
        <w:t>.</w:t>
      </w:r>
    </w:p>
    <w:p w14:paraId="39F051EA" w14:textId="33F5A07D" w:rsidR="00F24288" w:rsidRPr="00E056AE" w:rsidRDefault="00F24288" w:rsidP="00F24288">
      <w:pPr>
        <w:rPr>
          <w:rFonts w:cstheme="minorHAnsi"/>
        </w:rPr>
      </w:pPr>
      <w:r w:rsidRPr="00E056AE">
        <w:rPr>
          <w:rFonts w:cstheme="minorHAnsi"/>
        </w:rPr>
        <w:t xml:space="preserve">Access to the full data set will only be provided to the members of the research team. Individual data sets will be accessible only to the members of the research team and the individual from whom the data </w:t>
      </w:r>
      <w:r w:rsidR="006067CD" w:rsidRPr="00E056AE">
        <w:rPr>
          <w:rFonts w:cstheme="minorHAnsi"/>
        </w:rPr>
        <w:t xml:space="preserve">were </w:t>
      </w:r>
      <w:r w:rsidRPr="00E056AE">
        <w:rPr>
          <w:rFonts w:cstheme="minorHAnsi"/>
        </w:rPr>
        <w:t xml:space="preserve">recorded (as per their individual right of access).  </w:t>
      </w:r>
    </w:p>
    <w:p w14:paraId="7B12DDFD" w14:textId="711AAD4E" w:rsidR="00C23AE0" w:rsidRPr="00E056AE" w:rsidRDefault="00C23AE0" w:rsidP="00F24288">
      <w:pPr>
        <w:rPr>
          <w:rFonts w:cstheme="minorHAnsi"/>
        </w:rPr>
      </w:pPr>
      <w:r w:rsidRPr="00E056AE">
        <w:rPr>
          <w:rFonts w:cstheme="minorHAnsi"/>
        </w:rPr>
        <w:t>Confidentiality will be preserved in transmitting data and publishing results through the de-identification and data minimalization efforts outlined. Results will generally be presented in aggregate format, or where individual excerpts are used to highlight specific themes</w:t>
      </w:r>
      <w:r w:rsidR="006067CD" w:rsidRPr="00E056AE">
        <w:rPr>
          <w:rFonts w:cstheme="minorHAnsi"/>
        </w:rPr>
        <w:t>, no personal or identifiable</w:t>
      </w:r>
      <w:r w:rsidRPr="00E056AE">
        <w:rPr>
          <w:rFonts w:cstheme="minorHAnsi"/>
        </w:rPr>
        <w:t xml:space="preserve"> information will be given as to whom provided the quote. </w:t>
      </w:r>
    </w:p>
    <w:p w14:paraId="0F73AD9E" w14:textId="77777777" w:rsidR="00475FDA" w:rsidRPr="00E056AE" w:rsidRDefault="00475FDA" w:rsidP="003802A1">
      <w:pPr>
        <w:pStyle w:val="BodyText"/>
        <w:tabs>
          <w:tab w:val="left" w:pos="0"/>
        </w:tabs>
        <w:spacing w:after="120"/>
        <w:rPr>
          <w:rFonts w:asciiTheme="minorHAnsi" w:hAnsiTheme="minorHAnsi" w:cstheme="minorHAnsi"/>
          <w:b/>
          <w:i w:val="0"/>
          <w:sz w:val="22"/>
          <w:szCs w:val="22"/>
        </w:rPr>
      </w:pPr>
    </w:p>
    <w:p w14:paraId="7BE01922" w14:textId="5E4BB52D" w:rsidR="00475FDA" w:rsidRPr="00E056AE" w:rsidRDefault="00997241" w:rsidP="00864F75">
      <w:pPr>
        <w:pStyle w:val="Heading31"/>
        <w:suppressAutoHyphens w:val="0"/>
        <w:spacing w:after="120"/>
        <w:rPr>
          <w:rFonts w:asciiTheme="minorHAnsi" w:hAnsiTheme="minorHAnsi" w:cstheme="minorHAnsi"/>
          <w:bCs/>
          <w:sz w:val="22"/>
          <w:szCs w:val="22"/>
          <w:lang w:val="en-GB"/>
        </w:rPr>
      </w:pPr>
      <w:r w:rsidRPr="00E056AE">
        <w:rPr>
          <w:rFonts w:asciiTheme="minorHAnsi" w:hAnsiTheme="minorHAnsi" w:cstheme="minorHAnsi"/>
          <w:bCs/>
          <w:sz w:val="22"/>
          <w:szCs w:val="22"/>
          <w:lang w:val="en-GB"/>
        </w:rPr>
        <w:t>8</w:t>
      </w:r>
      <w:r w:rsidR="00441AFA" w:rsidRPr="00E056AE">
        <w:rPr>
          <w:rFonts w:asciiTheme="minorHAnsi" w:hAnsiTheme="minorHAnsi" w:cstheme="minorHAnsi"/>
          <w:bCs/>
          <w:sz w:val="22"/>
          <w:szCs w:val="22"/>
          <w:lang w:val="en-GB"/>
        </w:rPr>
        <w:t>.</w:t>
      </w:r>
      <w:r w:rsidR="0074226F" w:rsidRPr="00E056AE">
        <w:rPr>
          <w:rFonts w:asciiTheme="minorHAnsi" w:hAnsiTheme="minorHAnsi" w:cstheme="minorHAnsi"/>
          <w:bCs/>
          <w:sz w:val="22"/>
          <w:szCs w:val="22"/>
          <w:lang w:val="en-GB"/>
        </w:rPr>
        <w:t>7</w:t>
      </w:r>
      <w:r w:rsidR="00864F75" w:rsidRPr="00E056AE">
        <w:rPr>
          <w:rFonts w:asciiTheme="minorHAnsi" w:hAnsiTheme="minorHAnsi" w:cstheme="minorHAnsi"/>
          <w:bCs/>
          <w:sz w:val="22"/>
          <w:szCs w:val="22"/>
          <w:lang w:val="en-GB"/>
        </w:rPr>
        <w:tab/>
      </w:r>
      <w:r w:rsidR="00475FDA" w:rsidRPr="00E056AE">
        <w:rPr>
          <w:rFonts w:asciiTheme="minorHAnsi" w:hAnsiTheme="minorHAnsi" w:cstheme="minorHAnsi"/>
          <w:bCs/>
          <w:sz w:val="22"/>
          <w:szCs w:val="22"/>
          <w:lang w:val="en-GB"/>
        </w:rPr>
        <w:t>Indemnity</w:t>
      </w:r>
    </w:p>
    <w:p w14:paraId="19726E2B" w14:textId="11BB9437" w:rsidR="007536FC" w:rsidRPr="00E056AE" w:rsidRDefault="007536FC" w:rsidP="00864F75">
      <w:pPr>
        <w:pStyle w:val="Heading31"/>
        <w:suppressAutoHyphens w:val="0"/>
        <w:spacing w:after="120"/>
        <w:rPr>
          <w:rFonts w:asciiTheme="minorHAnsi" w:hAnsiTheme="minorHAnsi" w:cstheme="minorHAnsi"/>
          <w:b w:val="0"/>
          <w:bCs/>
          <w:sz w:val="22"/>
          <w:szCs w:val="22"/>
          <w:lang w:val="en-GB"/>
        </w:rPr>
      </w:pPr>
      <w:r w:rsidRPr="00E056AE">
        <w:rPr>
          <w:rFonts w:asciiTheme="minorHAnsi" w:hAnsiTheme="minorHAnsi" w:cstheme="minorHAnsi"/>
          <w:b w:val="0"/>
          <w:bCs/>
          <w:sz w:val="22"/>
          <w:szCs w:val="22"/>
          <w:lang w:val="en-GB"/>
        </w:rPr>
        <w:t>St George’s University of London, as the sponsor for this project will assume responsibility for the insurance and/or indemnity related to this project to meet the potential legal liability for harm to participants arising from the management of this research. This will also be in regard to the potential legal liability relating for harm to participants arising from the design of the research.</w:t>
      </w:r>
    </w:p>
    <w:p w14:paraId="58CF9E2A" w14:textId="538BFE18" w:rsidR="007536FC" w:rsidRPr="00E056AE" w:rsidRDefault="007536FC" w:rsidP="00864F75">
      <w:pPr>
        <w:pStyle w:val="Heading31"/>
        <w:suppressAutoHyphens w:val="0"/>
        <w:spacing w:after="120"/>
        <w:rPr>
          <w:rFonts w:asciiTheme="minorHAnsi" w:hAnsiTheme="minorHAnsi" w:cstheme="minorHAnsi"/>
          <w:b w:val="0"/>
          <w:bCs/>
          <w:sz w:val="22"/>
          <w:szCs w:val="22"/>
          <w:lang w:val="en-GB"/>
        </w:rPr>
      </w:pPr>
      <w:r w:rsidRPr="00E056AE">
        <w:rPr>
          <w:rFonts w:asciiTheme="minorHAnsi" w:hAnsiTheme="minorHAnsi" w:cstheme="minorHAnsi"/>
          <w:b w:val="0"/>
          <w:bCs/>
          <w:sz w:val="22"/>
          <w:szCs w:val="22"/>
          <w:lang w:val="en-GB"/>
        </w:rPr>
        <w:lastRenderedPageBreak/>
        <w:t>Arrangements for insurance and/or indemnity to meet the potential legal liability of investigators/collaborators arising from harm to participant in the conduct of the research will fall under the purview of the NHS indemnity scheme.</w:t>
      </w:r>
    </w:p>
    <w:p w14:paraId="06EC161D" w14:textId="77777777" w:rsidR="00485F3F" w:rsidRPr="00E056AE" w:rsidRDefault="00485F3F" w:rsidP="003802A1">
      <w:pPr>
        <w:spacing w:line="240" w:lineRule="auto"/>
        <w:rPr>
          <w:rFonts w:cstheme="minorHAnsi"/>
          <w:b/>
          <w:szCs w:val="22"/>
        </w:rPr>
      </w:pPr>
    </w:p>
    <w:p w14:paraId="64847DF2" w14:textId="2C25BC12" w:rsidR="00475FDA" w:rsidRPr="00E056AE" w:rsidRDefault="00997241" w:rsidP="003802A1">
      <w:pPr>
        <w:spacing w:line="240" w:lineRule="auto"/>
        <w:rPr>
          <w:rFonts w:cstheme="minorHAnsi"/>
          <w:b/>
          <w:szCs w:val="22"/>
        </w:rPr>
      </w:pPr>
      <w:r w:rsidRPr="00E056AE">
        <w:rPr>
          <w:rFonts w:cstheme="minorHAnsi"/>
          <w:b/>
          <w:szCs w:val="22"/>
        </w:rPr>
        <w:t>8</w:t>
      </w:r>
      <w:r w:rsidR="00485F3F" w:rsidRPr="00E056AE">
        <w:rPr>
          <w:rFonts w:cstheme="minorHAnsi"/>
          <w:b/>
          <w:szCs w:val="22"/>
        </w:rPr>
        <w:t>.</w:t>
      </w:r>
      <w:r w:rsidR="0074226F" w:rsidRPr="00E056AE">
        <w:rPr>
          <w:rFonts w:cstheme="minorHAnsi"/>
          <w:b/>
          <w:szCs w:val="22"/>
        </w:rPr>
        <w:t>8</w:t>
      </w:r>
      <w:r w:rsidR="00864F75" w:rsidRPr="00E056AE">
        <w:rPr>
          <w:rFonts w:cstheme="minorHAnsi"/>
          <w:b/>
          <w:szCs w:val="22"/>
        </w:rPr>
        <w:tab/>
      </w:r>
      <w:r w:rsidR="00475FDA" w:rsidRPr="00E056AE">
        <w:rPr>
          <w:rFonts w:cstheme="minorHAnsi"/>
          <w:b/>
          <w:szCs w:val="22"/>
        </w:rPr>
        <w:t xml:space="preserve">Access to the final </w:t>
      </w:r>
      <w:r w:rsidR="005A6EAB" w:rsidRPr="00E056AE">
        <w:rPr>
          <w:rFonts w:cstheme="minorHAnsi"/>
          <w:b/>
          <w:szCs w:val="22"/>
        </w:rPr>
        <w:t>study</w:t>
      </w:r>
      <w:r w:rsidR="00475FDA" w:rsidRPr="00E056AE">
        <w:rPr>
          <w:rFonts w:cstheme="minorHAnsi"/>
          <w:b/>
          <w:szCs w:val="22"/>
        </w:rPr>
        <w:t xml:space="preserve"> dataset</w:t>
      </w:r>
    </w:p>
    <w:p w14:paraId="3EACBE14" w14:textId="2822431F" w:rsidR="00921152" w:rsidRPr="00E056AE" w:rsidRDefault="00921152" w:rsidP="003802A1">
      <w:pPr>
        <w:spacing w:line="240" w:lineRule="auto"/>
        <w:rPr>
          <w:rFonts w:cstheme="minorHAnsi"/>
          <w:iCs/>
          <w:szCs w:val="22"/>
        </w:rPr>
      </w:pPr>
      <w:r w:rsidRPr="00E056AE">
        <w:rPr>
          <w:rFonts w:cstheme="minorHAnsi"/>
          <w:iCs/>
          <w:szCs w:val="22"/>
        </w:rPr>
        <w:t xml:space="preserve">Access to the </w:t>
      </w:r>
      <w:r w:rsidR="000C7CA4" w:rsidRPr="00E056AE">
        <w:rPr>
          <w:rFonts w:cstheme="minorHAnsi"/>
          <w:iCs/>
          <w:szCs w:val="22"/>
        </w:rPr>
        <w:t xml:space="preserve">final anonymised dataset will be made publicly available in line with open access publication requirements. No personal identifiable information will be included as any part of the publicly available </w:t>
      </w:r>
      <w:r w:rsidR="00667194" w:rsidRPr="00E056AE">
        <w:rPr>
          <w:rFonts w:cstheme="minorHAnsi"/>
          <w:iCs/>
          <w:szCs w:val="22"/>
        </w:rPr>
        <w:t>dataset.</w:t>
      </w:r>
      <w:r w:rsidRPr="00E056AE">
        <w:rPr>
          <w:rFonts w:cstheme="minorHAnsi"/>
          <w:iCs/>
          <w:szCs w:val="22"/>
        </w:rPr>
        <w:t xml:space="preserve"> Individual transcripts and data will be made accessible only to members of the research team, and the individual from whom the data was collected. The final</w:t>
      </w:r>
      <w:r w:rsidR="009B42E1" w:rsidRPr="00E056AE">
        <w:rPr>
          <w:rFonts w:cstheme="minorHAnsi"/>
          <w:iCs/>
          <w:szCs w:val="22"/>
        </w:rPr>
        <w:t xml:space="preserve"> raw</w:t>
      </w:r>
      <w:r w:rsidRPr="00E056AE">
        <w:rPr>
          <w:rFonts w:cstheme="minorHAnsi"/>
          <w:iCs/>
          <w:szCs w:val="22"/>
        </w:rPr>
        <w:t xml:space="preserve"> dataset will not be released as part of any dissemination plans.</w:t>
      </w:r>
    </w:p>
    <w:p w14:paraId="36B461BB" w14:textId="77777777" w:rsidR="00864F75" w:rsidRPr="00E056AE"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E056AE"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sidRPr="00E056AE">
        <w:rPr>
          <w:rFonts w:asciiTheme="minorHAnsi" w:hAnsiTheme="minorHAnsi" w:cstheme="minorHAnsi"/>
          <w:color w:val="auto"/>
          <w:spacing w:val="-3"/>
          <w:szCs w:val="22"/>
        </w:rPr>
        <w:t>9</w:t>
      </w:r>
      <w:r w:rsidR="00864F75" w:rsidRPr="00E056AE">
        <w:rPr>
          <w:rFonts w:asciiTheme="minorHAnsi" w:hAnsiTheme="minorHAnsi" w:cstheme="minorHAnsi"/>
          <w:color w:val="auto"/>
          <w:spacing w:val="-3"/>
          <w:szCs w:val="22"/>
        </w:rPr>
        <w:tab/>
      </w:r>
      <w:r w:rsidR="00475FDA" w:rsidRPr="00E056AE">
        <w:rPr>
          <w:rFonts w:asciiTheme="minorHAnsi" w:hAnsiTheme="minorHAnsi" w:cstheme="minorHAnsi"/>
          <w:color w:val="auto"/>
          <w:spacing w:val="-3"/>
          <w:szCs w:val="22"/>
        </w:rPr>
        <w:t>DISSEMINIATION POLICY</w:t>
      </w:r>
    </w:p>
    <w:p w14:paraId="0C34B7D7" w14:textId="36642CD1" w:rsidR="00475FDA" w:rsidRPr="00E056AE"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sidRPr="00E056AE">
        <w:rPr>
          <w:rFonts w:asciiTheme="minorHAnsi" w:hAnsiTheme="minorHAnsi" w:cstheme="minorHAnsi"/>
          <w:color w:val="auto"/>
          <w:spacing w:val="-3"/>
          <w:szCs w:val="22"/>
        </w:rPr>
        <w:t>9</w:t>
      </w:r>
      <w:r w:rsidR="00475FDA" w:rsidRPr="00E056AE">
        <w:rPr>
          <w:rFonts w:asciiTheme="minorHAnsi" w:hAnsiTheme="minorHAnsi" w:cstheme="minorHAnsi"/>
          <w:color w:val="auto"/>
          <w:spacing w:val="-3"/>
          <w:szCs w:val="22"/>
        </w:rPr>
        <w:t xml:space="preserve">.1 </w:t>
      </w:r>
      <w:r w:rsidR="00864F75" w:rsidRPr="00E056AE">
        <w:rPr>
          <w:rFonts w:asciiTheme="minorHAnsi" w:hAnsiTheme="minorHAnsi" w:cstheme="minorHAnsi"/>
          <w:color w:val="auto"/>
          <w:spacing w:val="-3"/>
          <w:szCs w:val="22"/>
        </w:rPr>
        <w:tab/>
      </w:r>
      <w:r w:rsidR="00475FDA" w:rsidRPr="00E056AE">
        <w:rPr>
          <w:rFonts w:asciiTheme="minorHAnsi" w:hAnsiTheme="minorHAnsi" w:cstheme="minorHAnsi"/>
          <w:color w:val="auto"/>
          <w:spacing w:val="-3"/>
          <w:szCs w:val="22"/>
        </w:rPr>
        <w:t>Dissemination policy</w:t>
      </w:r>
    </w:p>
    <w:p w14:paraId="0E16470C" w14:textId="277777A2" w:rsidR="005C625C" w:rsidRPr="00E056AE" w:rsidRDefault="005C625C" w:rsidP="005C625C">
      <w:pPr>
        <w:pStyle w:val="BodyText"/>
        <w:tabs>
          <w:tab w:val="left" w:pos="0"/>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Data collected during the interview and focus group process will be co-owned by the research team and individual participants from whom </w:t>
      </w:r>
      <w:r w:rsidR="009B42E1" w:rsidRPr="00E056AE">
        <w:rPr>
          <w:rFonts w:asciiTheme="minorHAnsi" w:hAnsiTheme="minorHAnsi" w:cstheme="minorHAnsi"/>
          <w:i w:val="0"/>
          <w:sz w:val="22"/>
          <w:szCs w:val="22"/>
        </w:rPr>
        <w:t>individualised</w:t>
      </w:r>
      <w:r w:rsidRPr="00E056AE">
        <w:rPr>
          <w:rFonts w:asciiTheme="minorHAnsi" w:hAnsiTheme="minorHAnsi" w:cstheme="minorHAnsi"/>
          <w:i w:val="0"/>
          <w:sz w:val="22"/>
          <w:szCs w:val="22"/>
        </w:rPr>
        <w:t xml:space="preserve"> data </w:t>
      </w:r>
      <w:r w:rsidR="00BD4DE1" w:rsidRPr="00E056AE">
        <w:rPr>
          <w:rFonts w:asciiTheme="minorHAnsi" w:hAnsiTheme="minorHAnsi" w:cstheme="minorHAnsi"/>
          <w:i w:val="0"/>
          <w:sz w:val="22"/>
          <w:szCs w:val="22"/>
        </w:rPr>
        <w:t xml:space="preserve">were </w:t>
      </w:r>
      <w:r w:rsidRPr="00E056AE">
        <w:rPr>
          <w:rFonts w:asciiTheme="minorHAnsi" w:hAnsiTheme="minorHAnsi" w:cstheme="minorHAnsi"/>
          <w:i w:val="0"/>
          <w:sz w:val="22"/>
          <w:szCs w:val="22"/>
        </w:rPr>
        <w:t xml:space="preserve">derived. Participants reserve the right to withdraw their consent, and therefore any data generated from their participation at any points during the research </w:t>
      </w:r>
      <w:r w:rsidR="00667194" w:rsidRPr="00E056AE">
        <w:rPr>
          <w:rFonts w:asciiTheme="minorHAnsi" w:hAnsiTheme="minorHAnsi" w:cstheme="minorHAnsi"/>
          <w:i w:val="0"/>
          <w:sz w:val="22"/>
          <w:szCs w:val="22"/>
        </w:rPr>
        <w:t>process but</w:t>
      </w:r>
      <w:r w:rsidRPr="00E056AE">
        <w:rPr>
          <w:rFonts w:asciiTheme="minorHAnsi" w:hAnsiTheme="minorHAnsi" w:cstheme="minorHAnsi"/>
          <w:i w:val="0"/>
          <w:sz w:val="22"/>
          <w:szCs w:val="22"/>
        </w:rPr>
        <w:t xml:space="preserve"> preceding the completion of the final publications and dissemination </w:t>
      </w:r>
      <w:r w:rsidR="0070733A" w:rsidRPr="00E056AE">
        <w:rPr>
          <w:rFonts w:asciiTheme="minorHAnsi" w:hAnsiTheme="minorHAnsi" w:cstheme="minorHAnsi"/>
          <w:i w:val="0"/>
          <w:sz w:val="22"/>
          <w:szCs w:val="22"/>
        </w:rPr>
        <w:t xml:space="preserve">of </w:t>
      </w:r>
      <w:r w:rsidRPr="00E056AE">
        <w:rPr>
          <w:rFonts w:asciiTheme="minorHAnsi" w:hAnsiTheme="minorHAnsi" w:cstheme="minorHAnsi"/>
          <w:i w:val="0"/>
          <w:sz w:val="22"/>
          <w:szCs w:val="22"/>
        </w:rPr>
        <w:t>material.</w:t>
      </w:r>
    </w:p>
    <w:p w14:paraId="38A03C7B" w14:textId="0795117B" w:rsidR="005C625C" w:rsidRPr="00E056AE" w:rsidRDefault="000B7F19" w:rsidP="006B6502">
      <w:pPr>
        <w:pStyle w:val="BodyText"/>
        <w:tabs>
          <w:tab w:val="left" w:pos="0"/>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Dissemination of the findings of the research will primarily be via open-access peer-reviewed journal and PhD thesis. Findings may also be disseminated through academic conferences, in the form of posters and/or oral presentation. The final decision to publish and disseminate findings lie with the Chief Investigator and research team, and they reserve the sole right to disseminate findings. Any final report/publication will be the property of the research team and sponsors/funders.</w:t>
      </w:r>
    </w:p>
    <w:p w14:paraId="7CCC62CA" w14:textId="5A06F797" w:rsidR="000B7F19" w:rsidRPr="00E056AE" w:rsidRDefault="000B7F19" w:rsidP="006B6502">
      <w:pPr>
        <w:pStyle w:val="BodyText"/>
        <w:tabs>
          <w:tab w:val="left" w:pos="0"/>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The final reports and publications will acknowledge funders and sponsors such as St. Georges’ University, St. Georges Hospital and the Rosetrees Trust.</w:t>
      </w:r>
    </w:p>
    <w:p w14:paraId="6F6D89DA" w14:textId="2D3543B7" w:rsidR="00C84E03" w:rsidRPr="00E056AE" w:rsidRDefault="00C84E03" w:rsidP="006B6502">
      <w:pPr>
        <w:pStyle w:val="BodyText"/>
        <w:tabs>
          <w:tab w:val="left" w:pos="0"/>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 xml:space="preserve">Participants may request access to the data collected from their individual interactions with the research team at any time. Access to aggregated group results will only be possible upon completion and publication of the final study report, to protect the integrity of the research process. </w:t>
      </w:r>
      <w:r w:rsidR="0070733A" w:rsidRPr="00E056AE">
        <w:rPr>
          <w:rFonts w:asciiTheme="minorHAnsi" w:hAnsiTheme="minorHAnsi" w:cstheme="minorHAnsi"/>
          <w:i w:val="0"/>
          <w:sz w:val="22"/>
          <w:szCs w:val="22"/>
        </w:rPr>
        <w:t>Where they have expressed interest and provided contact information, p</w:t>
      </w:r>
      <w:r w:rsidRPr="00E056AE">
        <w:rPr>
          <w:rFonts w:asciiTheme="minorHAnsi" w:hAnsiTheme="minorHAnsi" w:cstheme="minorHAnsi"/>
          <w:i w:val="0"/>
          <w:sz w:val="22"/>
          <w:szCs w:val="22"/>
        </w:rPr>
        <w:t xml:space="preserve">articipants will be informed of the availability of the final study report/publication and directed to/provided copies (in the case of academic journal publications). For those wishing it, we would also </w:t>
      </w:r>
      <w:r w:rsidR="009B42E1" w:rsidRPr="00E056AE">
        <w:rPr>
          <w:rFonts w:asciiTheme="minorHAnsi" w:hAnsiTheme="minorHAnsi" w:cstheme="minorHAnsi"/>
          <w:i w:val="0"/>
          <w:sz w:val="22"/>
          <w:szCs w:val="22"/>
        </w:rPr>
        <w:t>provide</w:t>
      </w:r>
      <w:r w:rsidRPr="00E056AE">
        <w:rPr>
          <w:rFonts w:asciiTheme="minorHAnsi" w:hAnsiTheme="minorHAnsi" w:cstheme="minorHAnsi"/>
          <w:i w:val="0"/>
          <w:sz w:val="22"/>
          <w:szCs w:val="22"/>
        </w:rPr>
        <w:t xml:space="preserve"> a lay summary/report to ensure ample accessibility </w:t>
      </w:r>
      <w:r w:rsidR="009B42E1" w:rsidRPr="00E056AE">
        <w:rPr>
          <w:rFonts w:asciiTheme="minorHAnsi" w:hAnsiTheme="minorHAnsi" w:cstheme="minorHAnsi"/>
          <w:i w:val="0"/>
          <w:sz w:val="22"/>
          <w:szCs w:val="22"/>
        </w:rPr>
        <w:t xml:space="preserve">of our participants </w:t>
      </w:r>
      <w:r w:rsidRPr="00E056AE">
        <w:rPr>
          <w:rFonts w:asciiTheme="minorHAnsi" w:hAnsiTheme="minorHAnsi" w:cstheme="minorHAnsi"/>
          <w:i w:val="0"/>
          <w:sz w:val="22"/>
          <w:szCs w:val="22"/>
        </w:rPr>
        <w:t>to the findings</w:t>
      </w:r>
      <w:r w:rsidR="00A46FF9" w:rsidRPr="00E056AE">
        <w:rPr>
          <w:rFonts w:asciiTheme="minorHAnsi" w:hAnsiTheme="minorHAnsi" w:cstheme="minorHAnsi"/>
          <w:i w:val="0"/>
          <w:sz w:val="22"/>
          <w:szCs w:val="22"/>
        </w:rPr>
        <w:t>, and where necessary have this translated into participants’ dominant language</w:t>
      </w:r>
    </w:p>
    <w:p w14:paraId="4A477DF3" w14:textId="6B2501E6" w:rsidR="00C84E03" w:rsidRPr="00E056AE" w:rsidRDefault="00C84E03" w:rsidP="006B6502">
      <w:pPr>
        <w:pStyle w:val="BodyText"/>
        <w:tabs>
          <w:tab w:val="left" w:pos="0"/>
        </w:tabs>
        <w:spacing w:after="120"/>
        <w:rPr>
          <w:rFonts w:asciiTheme="minorHAnsi" w:hAnsiTheme="minorHAnsi" w:cstheme="minorHAnsi"/>
          <w:i w:val="0"/>
          <w:sz w:val="22"/>
          <w:szCs w:val="22"/>
        </w:rPr>
      </w:pPr>
      <w:r w:rsidRPr="00E056AE">
        <w:rPr>
          <w:rFonts w:asciiTheme="minorHAnsi" w:hAnsiTheme="minorHAnsi" w:cstheme="minorHAnsi"/>
          <w:i w:val="0"/>
          <w:sz w:val="22"/>
          <w:szCs w:val="22"/>
        </w:rPr>
        <w:t>The study protocol and full study report will be made publicly available</w:t>
      </w:r>
      <w:r w:rsidR="009C432C" w:rsidRPr="00E056AE">
        <w:rPr>
          <w:rFonts w:asciiTheme="minorHAnsi" w:hAnsiTheme="minorHAnsi" w:cstheme="minorHAnsi"/>
          <w:i w:val="0"/>
          <w:sz w:val="22"/>
          <w:szCs w:val="22"/>
        </w:rPr>
        <w:t xml:space="preserve"> </w:t>
      </w:r>
      <w:r w:rsidR="009B42E1" w:rsidRPr="00E056AE">
        <w:rPr>
          <w:rFonts w:asciiTheme="minorHAnsi" w:hAnsiTheme="minorHAnsi" w:cstheme="minorHAnsi"/>
          <w:i w:val="0"/>
          <w:sz w:val="22"/>
          <w:szCs w:val="22"/>
        </w:rPr>
        <w:t>upon</w:t>
      </w:r>
      <w:r w:rsidR="009C432C" w:rsidRPr="00E056AE">
        <w:rPr>
          <w:rFonts w:asciiTheme="minorHAnsi" w:hAnsiTheme="minorHAnsi" w:cstheme="minorHAnsi"/>
          <w:i w:val="0"/>
          <w:sz w:val="22"/>
          <w:szCs w:val="22"/>
        </w:rPr>
        <w:t xml:space="preserve"> request </w:t>
      </w:r>
      <w:r w:rsidR="009B42E1" w:rsidRPr="00E056AE">
        <w:rPr>
          <w:rFonts w:asciiTheme="minorHAnsi" w:hAnsiTheme="minorHAnsi" w:cstheme="minorHAnsi"/>
          <w:i w:val="0"/>
          <w:sz w:val="22"/>
          <w:szCs w:val="22"/>
        </w:rPr>
        <w:t>to the</w:t>
      </w:r>
      <w:r w:rsidR="009C432C" w:rsidRPr="00E056AE">
        <w:rPr>
          <w:rFonts w:asciiTheme="minorHAnsi" w:hAnsiTheme="minorHAnsi" w:cstheme="minorHAnsi"/>
          <w:i w:val="0"/>
          <w:sz w:val="22"/>
          <w:szCs w:val="22"/>
        </w:rPr>
        <w:t xml:space="preserve"> research team</w:t>
      </w:r>
      <w:r w:rsidRPr="00E056AE">
        <w:rPr>
          <w:rFonts w:asciiTheme="minorHAnsi" w:hAnsiTheme="minorHAnsi" w:cstheme="minorHAnsi"/>
          <w:i w:val="0"/>
          <w:sz w:val="22"/>
          <w:szCs w:val="22"/>
        </w:rPr>
        <w:t>. However, we will not make available the anonymised transcripts or data of any participants, so as to protect their identities and expectations of confidentiality. The only circumstance in which individual level data will be released is in the form of de-identified, anonymised excerpts within the final publication, which is a standard procedure in qualitative research of this type</w:t>
      </w:r>
      <w:r w:rsidR="0070733A" w:rsidRPr="00E056AE">
        <w:rPr>
          <w:rFonts w:asciiTheme="minorHAnsi" w:hAnsiTheme="minorHAnsi" w:cstheme="minorHAnsi"/>
          <w:i w:val="0"/>
          <w:sz w:val="22"/>
          <w:szCs w:val="22"/>
        </w:rPr>
        <w:t>.</w:t>
      </w:r>
      <w:r w:rsidR="00634A33" w:rsidRPr="00E056AE">
        <w:rPr>
          <w:rFonts w:asciiTheme="minorHAnsi" w:hAnsiTheme="minorHAnsi" w:cstheme="minorHAnsi"/>
          <w:i w:val="0"/>
          <w:sz w:val="22"/>
          <w:szCs w:val="22"/>
        </w:rPr>
        <w:fldChar w:fldCharType="begin" w:fldLock="1"/>
      </w:r>
      <w:r w:rsidR="009553AE" w:rsidRPr="00E056AE">
        <w:rPr>
          <w:rFonts w:asciiTheme="minorHAnsi" w:hAnsiTheme="minorHAnsi" w:cstheme="minorHAnsi"/>
          <w:i w:val="0"/>
          <w:sz w:val="22"/>
          <w:szCs w:val="22"/>
        </w:rPr>
        <w:instrText>ADDIN CSL_CITATION {"citationItems":[{"id":"ITEM-1","itemData":{"ISBN":"978-1-871713-98-5","author":[{"dropping-particle":"","family":"Corden","given":"Anne","non-dropping-particle":"","parse-names":false,"suffix":""},{"dropping-particle":"","family":"Sainsbury","given":"Roy","non-dropping-particle":"","parse-names":false,"suffix":""}],"id":"ITEM-1","issued":{"date-parts":[["2136"]]},"title":"Using verbatim quotations in reporting qualitative social research: researchers' views","type":"book"},"uris":["http://www.mendeley.com/documents/?uuid=338c0aeb-22bc-3b39-9ddf-3df6c9e4c1fe"]}],"mendeley":{"formattedCitation":"&lt;sup&gt;30&lt;/sup&gt;","plainTextFormattedCitation":"30","previouslyFormattedCitation":"&lt;sup&gt;30&lt;/sup&gt;"},"properties":{"noteIndex":0},"schema":"https://github.com/citation-style-language/schema/raw/master/csl-citation.json"}</w:instrText>
      </w:r>
      <w:r w:rsidR="00634A33" w:rsidRPr="00E056AE">
        <w:rPr>
          <w:rFonts w:asciiTheme="minorHAnsi" w:hAnsiTheme="minorHAnsi" w:cstheme="minorHAnsi"/>
          <w:i w:val="0"/>
          <w:sz w:val="22"/>
          <w:szCs w:val="22"/>
        </w:rPr>
        <w:fldChar w:fldCharType="separate"/>
      </w:r>
      <w:r w:rsidR="009553AE" w:rsidRPr="00E056AE">
        <w:rPr>
          <w:rFonts w:asciiTheme="minorHAnsi" w:hAnsiTheme="minorHAnsi" w:cstheme="minorHAnsi"/>
          <w:i w:val="0"/>
          <w:noProof/>
          <w:sz w:val="22"/>
          <w:szCs w:val="22"/>
          <w:vertAlign w:val="superscript"/>
        </w:rPr>
        <w:t>30</w:t>
      </w:r>
      <w:r w:rsidR="00634A33" w:rsidRPr="00E056AE">
        <w:rPr>
          <w:rFonts w:asciiTheme="minorHAnsi" w:hAnsiTheme="minorHAnsi" w:cstheme="minorHAnsi"/>
          <w:i w:val="0"/>
          <w:sz w:val="22"/>
          <w:szCs w:val="22"/>
        </w:rPr>
        <w:fldChar w:fldCharType="end"/>
      </w:r>
      <w:r w:rsidRPr="00E056AE">
        <w:rPr>
          <w:rFonts w:asciiTheme="minorHAnsi" w:hAnsiTheme="minorHAnsi" w:cstheme="minorHAnsi"/>
          <w:i w:val="0"/>
          <w:sz w:val="22"/>
          <w:szCs w:val="22"/>
        </w:rPr>
        <w:t xml:space="preserve"> These excerpts will take the form of words, sentences and phrases the participants have provided which exemplify the coding framework and </w:t>
      </w:r>
      <w:r w:rsidR="0070733A" w:rsidRPr="00E056AE">
        <w:rPr>
          <w:rFonts w:asciiTheme="minorHAnsi" w:hAnsiTheme="minorHAnsi" w:cstheme="minorHAnsi"/>
          <w:i w:val="0"/>
          <w:sz w:val="22"/>
          <w:szCs w:val="22"/>
        </w:rPr>
        <w:t>themes generated through the analysis</w:t>
      </w:r>
      <w:r w:rsidR="009C432C" w:rsidRPr="00E056AE">
        <w:rPr>
          <w:rFonts w:asciiTheme="minorHAnsi" w:hAnsiTheme="minorHAnsi" w:cstheme="minorHAnsi"/>
          <w:i w:val="0"/>
          <w:sz w:val="22"/>
          <w:szCs w:val="22"/>
        </w:rPr>
        <w:t>.</w:t>
      </w:r>
      <w:r w:rsidR="009B42E1" w:rsidRPr="00E056AE">
        <w:rPr>
          <w:rFonts w:asciiTheme="minorHAnsi" w:hAnsiTheme="minorHAnsi" w:cstheme="minorHAnsi"/>
          <w:i w:val="0"/>
          <w:sz w:val="22"/>
          <w:szCs w:val="22"/>
        </w:rPr>
        <w:t xml:space="preserve"> Such excerpts would generally be no longer than a sentence or two</w:t>
      </w:r>
      <w:r w:rsidR="0065313C" w:rsidRPr="00E056AE">
        <w:rPr>
          <w:rFonts w:asciiTheme="minorHAnsi" w:hAnsiTheme="minorHAnsi" w:cstheme="minorHAnsi"/>
          <w:i w:val="0"/>
          <w:sz w:val="22"/>
          <w:szCs w:val="22"/>
        </w:rPr>
        <w:t xml:space="preserve"> and not linked to any specific patient or staff member</w:t>
      </w:r>
      <w:r w:rsidR="009B42E1" w:rsidRPr="00E056AE">
        <w:rPr>
          <w:rFonts w:asciiTheme="minorHAnsi" w:hAnsiTheme="minorHAnsi" w:cstheme="minorHAnsi"/>
          <w:i w:val="0"/>
          <w:sz w:val="22"/>
          <w:szCs w:val="22"/>
        </w:rPr>
        <w:t>.</w:t>
      </w:r>
      <w:r w:rsidR="009C432C" w:rsidRPr="00E056AE">
        <w:rPr>
          <w:rFonts w:asciiTheme="minorHAnsi" w:hAnsiTheme="minorHAnsi" w:cstheme="minorHAnsi"/>
          <w:i w:val="0"/>
          <w:sz w:val="22"/>
          <w:szCs w:val="22"/>
        </w:rPr>
        <w:t xml:space="preserve"> </w:t>
      </w:r>
    </w:p>
    <w:p w14:paraId="001411A0" w14:textId="77777777" w:rsidR="000B7F19" w:rsidRPr="00E056AE" w:rsidRDefault="000B7F19" w:rsidP="006B6502">
      <w:pPr>
        <w:pStyle w:val="BodyText"/>
        <w:tabs>
          <w:tab w:val="left" w:pos="0"/>
        </w:tabs>
        <w:spacing w:after="120"/>
        <w:rPr>
          <w:rFonts w:asciiTheme="minorHAnsi" w:hAnsiTheme="minorHAnsi" w:cstheme="minorHAnsi"/>
          <w:i w:val="0"/>
          <w:sz w:val="22"/>
          <w:szCs w:val="22"/>
        </w:rPr>
      </w:pPr>
    </w:p>
    <w:p w14:paraId="04C80AB9" w14:textId="5C32F876" w:rsidR="003B4870" w:rsidRPr="00E056AE" w:rsidRDefault="003B4870" w:rsidP="003B4870">
      <w:pPr>
        <w:autoSpaceDE w:val="0"/>
        <w:autoSpaceDN w:val="0"/>
        <w:adjustRightInd w:val="0"/>
        <w:spacing w:line="240" w:lineRule="auto"/>
        <w:ind w:left="895"/>
        <w:rPr>
          <w:rFonts w:cstheme="minorHAnsi"/>
          <w:color w:val="0000FF"/>
          <w:szCs w:val="22"/>
          <w:lang w:eastAsia="en-GB"/>
        </w:rPr>
      </w:pPr>
    </w:p>
    <w:p w14:paraId="2A72B1B7" w14:textId="77777777" w:rsidR="00C04E20" w:rsidRPr="00E056AE" w:rsidRDefault="00C04E20" w:rsidP="003B4870">
      <w:pPr>
        <w:autoSpaceDE w:val="0"/>
        <w:autoSpaceDN w:val="0"/>
        <w:adjustRightInd w:val="0"/>
        <w:spacing w:line="240" w:lineRule="auto"/>
        <w:ind w:left="895"/>
        <w:rPr>
          <w:rFonts w:cstheme="minorHAnsi"/>
          <w:color w:val="0000FF"/>
          <w:szCs w:val="22"/>
          <w:lang w:eastAsia="en-GB"/>
        </w:rPr>
      </w:pPr>
    </w:p>
    <w:p w14:paraId="53547BE6" w14:textId="0D189412" w:rsidR="00475FDA" w:rsidRPr="00E056AE" w:rsidRDefault="00997241" w:rsidP="00864F75">
      <w:pPr>
        <w:spacing w:line="240" w:lineRule="auto"/>
        <w:rPr>
          <w:rFonts w:cstheme="minorHAnsi"/>
          <w:b/>
          <w:szCs w:val="22"/>
        </w:rPr>
      </w:pPr>
      <w:r w:rsidRPr="00E056AE">
        <w:rPr>
          <w:rFonts w:cstheme="minorHAnsi"/>
          <w:b/>
          <w:szCs w:val="22"/>
        </w:rPr>
        <w:t>9</w:t>
      </w:r>
      <w:r w:rsidR="00475FDA" w:rsidRPr="00E056AE">
        <w:rPr>
          <w:rFonts w:cstheme="minorHAnsi"/>
          <w:b/>
          <w:szCs w:val="22"/>
        </w:rPr>
        <w:t xml:space="preserve">.2 </w:t>
      </w:r>
      <w:r w:rsidR="00864F75" w:rsidRPr="00E056AE">
        <w:rPr>
          <w:rFonts w:cstheme="minorHAnsi"/>
          <w:b/>
          <w:szCs w:val="22"/>
        </w:rPr>
        <w:tab/>
      </w:r>
      <w:r w:rsidR="00475FDA" w:rsidRPr="00E056AE">
        <w:rPr>
          <w:rFonts w:cstheme="minorHAnsi"/>
          <w:b/>
          <w:szCs w:val="22"/>
        </w:rPr>
        <w:t>Authorship eligibility guidelines and any intended use of professional writers</w:t>
      </w:r>
    </w:p>
    <w:p w14:paraId="02F5412C" w14:textId="11F2B980" w:rsidR="00C04E20" w:rsidRPr="00E056AE" w:rsidRDefault="00C04E20" w:rsidP="00864F75">
      <w:pPr>
        <w:spacing w:line="240" w:lineRule="auto"/>
        <w:rPr>
          <w:rFonts w:cstheme="minorHAnsi"/>
          <w:szCs w:val="22"/>
        </w:rPr>
      </w:pPr>
      <w:r w:rsidRPr="00E056AE">
        <w:rPr>
          <w:rFonts w:cstheme="minorHAnsi"/>
          <w:szCs w:val="22"/>
        </w:rPr>
        <w:t>Authorship of the final report/publication will be attributed to the to the research team outlined in the protocol, whom combined, hold the responsibility for the conception and design of the study, the acquisition, analysis and interpretation of data, and the final approval of the report/publication to be disseminated. Individual attributions will be indicated within any final report.</w:t>
      </w:r>
    </w:p>
    <w:p w14:paraId="27C327D6" w14:textId="5AAF73E6" w:rsidR="00C04E20" w:rsidRPr="00E056AE" w:rsidRDefault="00C04E20" w:rsidP="00864F75">
      <w:pPr>
        <w:spacing w:line="240" w:lineRule="auto"/>
        <w:rPr>
          <w:rFonts w:cstheme="minorHAnsi"/>
          <w:szCs w:val="22"/>
        </w:rPr>
      </w:pPr>
      <w:r w:rsidRPr="00E056AE">
        <w:rPr>
          <w:rFonts w:cstheme="minorHAnsi"/>
          <w:szCs w:val="22"/>
        </w:rPr>
        <w:t>Acknowledgements to include in the final report/publication will include the funders, sponsors and clinical staff/sites</w:t>
      </w:r>
      <w:r w:rsidR="009B42E1" w:rsidRPr="00E056AE">
        <w:rPr>
          <w:rFonts w:cstheme="minorHAnsi"/>
          <w:szCs w:val="22"/>
        </w:rPr>
        <w:t xml:space="preserve"> and participants</w:t>
      </w:r>
      <w:r w:rsidRPr="00E056AE">
        <w:rPr>
          <w:rFonts w:cstheme="minorHAnsi"/>
          <w:szCs w:val="22"/>
        </w:rPr>
        <w:t xml:space="preserve"> whom have facilitated the research.</w:t>
      </w:r>
    </w:p>
    <w:p w14:paraId="7D98A5F2" w14:textId="77777777" w:rsidR="006B6502" w:rsidRPr="00E056AE"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E056AE"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sidRPr="00E056AE">
        <w:rPr>
          <w:rFonts w:asciiTheme="minorHAnsi" w:hAnsiTheme="minorHAnsi" w:cstheme="minorHAnsi"/>
          <w:color w:val="auto"/>
          <w:spacing w:val="-3"/>
          <w:szCs w:val="22"/>
        </w:rPr>
        <w:t>10</w:t>
      </w:r>
      <w:r w:rsidR="00475FDA" w:rsidRPr="00E056AE">
        <w:rPr>
          <w:rFonts w:asciiTheme="minorHAnsi" w:hAnsiTheme="minorHAnsi" w:cstheme="minorHAnsi"/>
          <w:color w:val="auto"/>
          <w:spacing w:val="-3"/>
          <w:szCs w:val="22"/>
        </w:rPr>
        <w:tab/>
        <w:t>REFERENCES</w:t>
      </w:r>
    </w:p>
    <w:p w14:paraId="58B9CC89" w14:textId="62C87907" w:rsidR="009553AE" w:rsidRPr="00E056AE" w:rsidRDefault="00C04E20" w:rsidP="009553AE">
      <w:pPr>
        <w:widowControl w:val="0"/>
        <w:autoSpaceDE w:val="0"/>
        <w:autoSpaceDN w:val="0"/>
        <w:adjustRightInd w:val="0"/>
        <w:spacing w:line="240" w:lineRule="auto"/>
        <w:ind w:left="640" w:hanging="640"/>
        <w:rPr>
          <w:rFonts w:ascii="Arial" w:hAnsi="Arial" w:cs="Arial"/>
          <w:noProof/>
        </w:rPr>
      </w:pPr>
      <w:r w:rsidRPr="00E056AE">
        <w:rPr>
          <w:rFonts w:cstheme="minorHAnsi"/>
          <w:szCs w:val="22"/>
        </w:rPr>
        <w:fldChar w:fldCharType="begin" w:fldLock="1"/>
      </w:r>
      <w:r w:rsidRPr="00E056AE">
        <w:rPr>
          <w:rFonts w:cstheme="minorHAnsi"/>
          <w:szCs w:val="22"/>
        </w:rPr>
        <w:instrText xml:space="preserve">ADDIN Mendeley Bibliography CSL_BIBLIOGRAPHY </w:instrText>
      </w:r>
      <w:r w:rsidRPr="00E056AE">
        <w:rPr>
          <w:rFonts w:cstheme="minorHAnsi"/>
          <w:szCs w:val="22"/>
        </w:rPr>
        <w:fldChar w:fldCharType="separate"/>
      </w:r>
      <w:r w:rsidR="009553AE" w:rsidRPr="00E056AE">
        <w:rPr>
          <w:rFonts w:ascii="Arial" w:hAnsi="Arial" w:cs="Arial"/>
          <w:noProof/>
        </w:rPr>
        <w:t>1.</w:t>
      </w:r>
      <w:r w:rsidR="009553AE" w:rsidRPr="00E056AE">
        <w:rPr>
          <w:rFonts w:ascii="Arial" w:hAnsi="Arial" w:cs="Arial"/>
          <w:noProof/>
        </w:rPr>
        <w:tab/>
        <w:t xml:space="preserve">World Health Organization. </w:t>
      </w:r>
      <w:r w:rsidR="009553AE" w:rsidRPr="00E056AE">
        <w:rPr>
          <w:rFonts w:ascii="Arial" w:hAnsi="Arial" w:cs="Arial"/>
          <w:i/>
          <w:iCs/>
          <w:noProof/>
        </w:rPr>
        <w:t>Global Tuberculosis Report 2018 - Executive Summary</w:t>
      </w:r>
      <w:r w:rsidR="009553AE" w:rsidRPr="00E056AE">
        <w:rPr>
          <w:rFonts w:ascii="Arial" w:hAnsi="Arial" w:cs="Arial"/>
          <w:noProof/>
        </w:rPr>
        <w:t>. (2018).</w:t>
      </w:r>
    </w:p>
    <w:p w14:paraId="6AE88B65"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w:t>
      </w:r>
      <w:r w:rsidRPr="00E056AE">
        <w:rPr>
          <w:rFonts w:ascii="Arial" w:hAnsi="Arial" w:cs="Arial"/>
          <w:noProof/>
        </w:rPr>
        <w:tab/>
        <w:t xml:space="preserve">Houben, R. M. G. J. &amp; Dodd, P. J. The Global Burden of Latent Tuberculosis Infection: A Re-estimation Using Mathematical Modelling. </w:t>
      </w:r>
      <w:r w:rsidRPr="00E056AE">
        <w:rPr>
          <w:rFonts w:ascii="Arial" w:hAnsi="Arial" w:cs="Arial"/>
          <w:i/>
          <w:iCs/>
          <w:noProof/>
        </w:rPr>
        <w:t>PLOS Med.</w:t>
      </w:r>
      <w:r w:rsidRPr="00E056AE">
        <w:rPr>
          <w:rFonts w:ascii="Arial" w:hAnsi="Arial" w:cs="Arial"/>
          <w:noProof/>
        </w:rPr>
        <w:t xml:space="preserve"> </w:t>
      </w:r>
      <w:r w:rsidRPr="00E056AE">
        <w:rPr>
          <w:rFonts w:ascii="Arial" w:hAnsi="Arial" w:cs="Arial"/>
          <w:b/>
          <w:bCs/>
          <w:noProof/>
        </w:rPr>
        <w:t>13</w:t>
      </w:r>
      <w:r w:rsidRPr="00E056AE">
        <w:rPr>
          <w:rFonts w:ascii="Arial" w:hAnsi="Arial" w:cs="Arial"/>
          <w:noProof/>
        </w:rPr>
        <w:t>, e1002152 (2016).</w:t>
      </w:r>
    </w:p>
    <w:p w14:paraId="7638838B"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3.</w:t>
      </w:r>
      <w:r w:rsidRPr="00E056AE">
        <w:rPr>
          <w:rFonts w:ascii="Arial" w:hAnsi="Arial" w:cs="Arial"/>
          <w:noProof/>
        </w:rPr>
        <w:tab/>
        <w:t xml:space="preserve">World Health Organization. </w:t>
      </w:r>
      <w:r w:rsidRPr="00E056AE">
        <w:rPr>
          <w:rFonts w:ascii="Arial" w:hAnsi="Arial" w:cs="Arial"/>
          <w:i/>
          <w:iCs/>
          <w:noProof/>
        </w:rPr>
        <w:t>Latent tuberculosis infection: Updated and consolidated guidelines for programmatic management</w:t>
      </w:r>
      <w:r w:rsidRPr="00E056AE">
        <w:rPr>
          <w:rFonts w:ascii="Arial" w:hAnsi="Arial" w:cs="Arial"/>
          <w:noProof/>
        </w:rPr>
        <w:t>. (2018).</w:t>
      </w:r>
    </w:p>
    <w:p w14:paraId="711B746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4.</w:t>
      </w:r>
      <w:r w:rsidRPr="00E056AE">
        <w:rPr>
          <w:rFonts w:ascii="Arial" w:hAnsi="Arial" w:cs="Arial"/>
          <w:noProof/>
        </w:rPr>
        <w:tab/>
        <w:t xml:space="preserve">World Health Organization. </w:t>
      </w:r>
      <w:r w:rsidRPr="00E056AE">
        <w:rPr>
          <w:rFonts w:ascii="Arial" w:hAnsi="Arial" w:cs="Arial"/>
          <w:i/>
          <w:iCs/>
          <w:noProof/>
        </w:rPr>
        <w:t>The End TB Strategy</w:t>
      </w:r>
      <w:r w:rsidRPr="00E056AE">
        <w:rPr>
          <w:rFonts w:ascii="Arial" w:hAnsi="Arial" w:cs="Arial"/>
          <w:noProof/>
        </w:rPr>
        <w:t>. (2015).</w:t>
      </w:r>
    </w:p>
    <w:p w14:paraId="454CF4C6"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5.</w:t>
      </w:r>
      <w:r w:rsidRPr="00E056AE">
        <w:rPr>
          <w:rFonts w:ascii="Arial" w:hAnsi="Arial" w:cs="Arial"/>
          <w:noProof/>
        </w:rPr>
        <w:tab/>
        <w:t xml:space="preserve">World Health Organization. </w:t>
      </w:r>
      <w:r w:rsidRPr="00E056AE">
        <w:rPr>
          <w:rFonts w:ascii="Arial" w:hAnsi="Arial" w:cs="Arial"/>
          <w:i/>
          <w:iCs/>
          <w:noProof/>
        </w:rPr>
        <w:t>Towards tuberculosis elimination: an action framework for low-incidence countries</w:t>
      </w:r>
      <w:r w:rsidRPr="00E056AE">
        <w:rPr>
          <w:rFonts w:ascii="Arial" w:hAnsi="Arial" w:cs="Arial"/>
          <w:noProof/>
        </w:rPr>
        <w:t>. (2014).</w:t>
      </w:r>
    </w:p>
    <w:p w14:paraId="34571EAE"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6.</w:t>
      </w:r>
      <w:r w:rsidRPr="00E056AE">
        <w:rPr>
          <w:rFonts w:ascii="Arial" w:hAnsi="Arial" w:cs="Arial"/>
          <w:noProof/>
        </w:rPr>
        <w:tab/>
        <w:t xml:space="preserve">Public Health England. </w:t>
      </w:r>
      <w:r w:rsidRPr="00E056AE">
        <w:rPr>
          <w:rFonts w:ascii="Arial" w:hAnsi="Arial" w:cs="Arial"/>
          <w:i/>
          <w:iCs/>
          <w:noProof/>
        </w:rPr>
        <w:t>Tuberculosis in England: 2018</w:t>
      </w:r>
      <w:r w:rsidRPr="00E056AE">
        <w:rPr>
          <w:rFonts w:ascii="Arial" w:hAnsi="Arial" w:cs="Arial"/>
          <w:noProof/>
        </w:rPr>
        <w:t>. (2018).</w:t>
      </w:r>
    </w:p>
    <w:p w14:paraId="0D40CF62"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7.</w:t>
      </w:r>
      <w:r w:rsidRPr="00E056AE">
        <w:rPr>
          <w:rFonts w:ascii="Arial" w:hAnsi="Arial" w:cs="Arial"/>
          <w:noProof/>
        </w:rPr>
        <w:tab/>
        <w:t>World Health Organization. Basic facts on Tuberculosis (TB) in the WHO European Region. (2018). Available at: http://www.euro.who.int/en/health-topics/communicable-diseases/tuberculosis/data-and-statistics. (Accessed: 7th December 2018)</w:t>
      </w:r>
    </w:p>
    <w:p w14:paraId="0A6091BC"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8.</w:t>
      </w:r>
      <w:r w:rsidRPr="00E056AE">
        <w:rPr>
          <w:rFonts w:ascii="Arial" w:hAnsi="Arial" w:cs="Arial"/>
          <w:noProof/>
        </w:rPr>
        <w:tab/>
        <w:t xml:space="preserve">Devillé, W. </w:t>
      </w:r>
      <w:r w:rsidRPr="00E056AE">
        <w:rPr>
          <w:rFonts w:ascii="Arial" w:hAnsi="Arial" w:cs="Arial"/>
          <w:i/>
          <w:iCs/>
          <w:noProof/>
        </w:rPr>
        <w:t>et al.</w:t>
      </w:r>
      <w:r w:rsidRPr="00E056AE">
        <w:rPr>
          <w:rFonts w:ascii="Arial" w:hAnsi="Arial" w:cs="Arial"/>
          <w:noProof/>
        </w:rPr>
        <w:t xml:space="preserve"> Health care for immigrants in Europe: Is there still consensus among country experts about principles of good practice? A Delphi study. </w:t>
      </w:r>
      <w:r w:rsidRPr="00E056AE">
        <w:rPr>
          <w:rFonts w:ascii="Arial" w:hAnsi="Arial" w:cs="Arial"/>
          <w:i/>
          <w:iCs/>
          <w:noProof/>
        </w:rPr>
        <w:t>BMC Public Health</w:t>
      </w:r>
      <w:r w:rsidRPr="00E056AE">
        <w:rPr>
          <w:rFonts w:ascii="Arial" w:hAnsi="Arial" w:cs="Arial"/>
          <w:noProof/>
        </w:rPr>
        <w:t xml:space="preserve"> </w:t>
      </w:r>
      <w:r w:rsidRPr="00E056AE">
        <w:rPr>
          <w:rFonts w:ascii="Arial" w:hAnsi="Arial" w:cs="Arial"/>
          <w:b/>
          <w:bCs/>
          <w:noProof/>
        </w:rPr>
        <w:t>11</w:t>
      </w:r>
      <w:r w:rsidRPr="00E056AE">
        <w:rPr>
          <w:rFonts w:ascii="Arial" w:hAnsi="Arial" w:cs="Arial"/>
          <w:noProof/>
        </w:rPr>
        <w:t>, 699 (2011).</w:t>
      </w:r>
    </w:p>
    <w:p w14:paraId="35C39670"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9.</w:t>
      </w:r>
      <w:r w:rsidRPr="00E056AE">
        <w:rPr>
          <w:rFonts w:ascii="Arial" w:hAnsi="Arial" w:cs="Arial"/>
          <w:noProof/>
        </w:rPr>
        <w:tab/>
        <w:t xml:space="preserve">Lin, S. &amp; Melendez-Torres, G. J. Systematic review of risk factors for nonadherence to TB treatment in immigrant populations. </w:t>
      </w:r>
      <w:r w:rsidRPr="00E056AE">
        <w:rPr>
          <w:rFonts w:ascii="Arial" w:hAnsi="Arial" w:cs="Arial"/>
          <w:i/>
          <w:iCs/>
          <w:noProof/>
        </w:rPr>
        <w:t>Trans. R. Soc. Trop. Med. Hyg.</w:t>
      </w:r>
      <w:r w:rsidRPr="00E056AE">
        <w:rPr>
          <w:rFonts w:ascii="Arial" w:hAnsi="Arial" w:cs="Arial"/>
          <w:noProof/>
        </w:rPr>
        <w:t xml:space="preserve"> </w:t>
      </w:r>
      <w:r w:rsidRPr="00E056AE">
        <w:rPr>
          <w:rFonts w:ascii="Arial" w:hAnsi="Arial" w:cs="Arial"/>
          <w:b/>
          <w:bCs/>
          <w:noProof/>
        </w:rPr>
        <w:t>110</w:t>
      </w:r>
      <w:r w:rsidRPr="00E056AE">
        <w:rPr>
          <w:rFonts w:ascii="Arial" w:hAnsi="Arial" w:cs="Arial"/>
          <w:noProof/>
        </w:rPr>
        <w:t>, 268–280 (2016).</w:t>
      </w:r>
    </w:p>
    <w:p w14:paraId="2B6F28EC"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10.</w:t>
      </w:r>
      <w:r w:rsidRPr="00E056AE">
        <w:rPr>
          <w:rFonts w:ascii="Arial" w:hAnsi="Arial" w:cs="Arial"/>
          <w:noProof/>
        </w:rPr>
        <w:tab/>
        <w:t xml:space="preserve">Abarca Tomás, B. </w:t>
      </w:r>
      <w:r w:rsidRPr="00E056AE">
        <w:rPr>
          <w:rFonts w:ascii="Arial" w:hAnsi="Arial" w:cs="Arial"/>
          <w:i/>
          <w:iCs/>
          <w:noProof/>
        </w:rPr>
        <w:t>et al.</w:t>
      </w:r>
      <w:r w:rsidRPr="00E056AE">
        <w:rPr>
          <w:rFonts w:ascii="Arial" w:hAnsi="Arial" w:cs="Arial"/>
          <w:noProof/>
        </w:rPr>
        <w:t xml:space="preserve"> Tuberculosis in migrant populations. A systematic review of the qualitative literature. </w:t>
      </w:r>
      <w:r w:rsidRPr="00E056AE">
        <w:rPr>
          <w:rFonts w:ascii="Arial" w:hAnsi="Arial" w:cs="Arial"/>
          <w:i/>
          <w:iCs/>
          <w:noProof/>
        </w:rPr>
        <w:t>PLoS One</w:t>
      </w:r>
      <w:r w:rsidRPr="00E056AE">
        <w:rPr>
          <w:rFonts w:ascii="Arial" w:hAnsi="Arial" w:cs="Arial"/>
          <w:noProof/>
        </w:rPr>
        <w:t xml:space="preserve"> </w:t>
      </w:r>
      <w:r w:rsidRPr="00E056AE">
        <w:rPr>
          <w:rFonts w:ascii="Arial" w:hAnsi="Arial" w:cs="Arial"/>
          <w:b/>
          <w:bCs/>
          <w:noProof/>
        </w:rPr>
        <w:t>8</w:t>
      </w:r>
      <w:r w:rsidRPr="00E056AE">
        <w:rPr>
          <w:rFonts w:ascii="Arial" w:hAnsi="Arial" w:cs="Arial"/>
          <w:noProof/>
        </w:rPr>
        <w:t>, e82440 (2013).</w:t>
      </w:r>
    </w:p>
    <w:p w14:paraId="62819E3B"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11.</w:t>
      </w:r>
      <w:r w:rsidRPr="00E056AE">
        <w:rPr>
          <w:rFonts w:ascii="Arial" w:hAnsi="Arial" w:cs="Arial"/>
          <w:noProof/>
        </w:rPr>
        <w:tab/>
        <w:t>Tuberculosis | Guidance and guidelines | NICE.</w:t>
      </w:r>
    </w:p>
    <w:p w14:paraId="21A015A0"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12.</w:t>
      </w:r>
      <w:r w:rsidRPr="00E056AE">
        <w:rPr>
          <w:rFonts w:ascii="Arial" w:hAnsi="Arial" w:cs="Arial"/>
          <w:noProof/>
        </w:rPr>
        <w:tab/>
        <w:t xml:space="preserve">Zenner, D. </w:t>
      </w:r>
      <w:r w:rsidRPr="00E056AE">
        <w:rPr>
          <w:rFonts w:ascii="Arial" w:hAnsi="Arial" w:cs="Arial"/>
          <w:i/>
          <w:iCs/>
          <w:noProof/>
        </w:rPr>
        <w:t>et al.</w:t>
      </w:r>
      <w:r w:rsidRPr="00E056AE">
        <w:rPr>
          <w:rFonts w:ascii="Arial" w:hAnsi="Arial" w:cs="Arial"/>
          <w:noProof/>
        </w:rPr>
        <w:t xml:space="preserve"> </w:t>
      </w:r>
      <w:r w:rsidRPr="00E056AE">
        <w:rPr>
          <w:rFonts w:ascii="Arial" w:hAnsi="Arial" w:cs="Arial"/>
          <w:i/>
          <w:iCs/>
          <w:noProof/>
        </w:rPr>
        <w:t>Latent TB Testing and Treatment for Migrants: A practical guide for</w:t>
      </w:r>
      <w:r w:rsidRPr="00E056AE">
        <w:rPr>
          <w:rFonts w:ascii="Arial" w:hAnsi="Arial" w:cs="Arial"/>
          <w:noProof/>
        </w:rPr>
        <w:t>. (2015).</w:t>
      </w:r>
    </w:p>
    <w:p w14:paraId="156A6CF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13.</w:t>
      </w:r>
      <w:r w:rsidRPr="00E056AE">
        <w:rPr>
          <w:rFonts w:ascii="Arial" w:hAnsi="Arial" w:cs="Arial"/>
          <w:noProof/>
        </w:rPr>
        <w:tab/>
        <w:t xml:space="preserve">World Health Organization. </w:t>
      </w:r>
      <w:r w:rsidRPr="00E056AE">
        <w:rPr>
          <w:rFonts w:ascii="Arial" w:hAnsi="Arial" w:cs="Arial"/>
          <w:i/>
          <w:iCs/>
          <w:noProof/>
        </w:rPr>
        <w:t>Guidelines on the management of latent tuberculosis infection</w:t>
      </w:r>
      <w:r w:rsidRPr="00E056AE">
        <w:rPr>
          <w:rFonts w:ascii="Arial" w:hAnsi="Arial" w:cs="Arial"/>
          <w:noProof/>
        </w:rPr>
        <w:t>. (2015).</w:t>
      </w:r>
    </w:p>
    <w:p w14:paraId="2EE2673E"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14.</w:t>
      </w:r>
      <w:r w:rsidRPr="00E056AE">
        <w:rPr>
          <w:rFonts w:ascii="Arial" w:hAnsi="Arial" w:cs="Arial"/>
          <w:noProof/>
        </w:rPr>
        <w:tab/>
        <w:t xml:space="preserve">World Health Organization. WHO | WHO End TB Strategy. </w:t>
      </w:r>
      <w:r w:rsidRPr="00E056AE">
        <w:rPr>
          <w:rFonts w:ascii="Arial" w:hAnsi="Arial" w:cs="Arial"/>
          <w:i/>
          <w:iCs/>
          <w:noProof/>
        </w:rPr>
        <w:t>WHO</w:t>
      </w:r>
      <w:r w:rsidRPr="00E056AE">
        <w:rPr>
          <w:rFonts w:ascii="Arial" w:hAnsi="Arial" w:cs="Arial"/>
          <w:noProof/>
        </w:rPr>
        <w:t xml:space="preserve"> (2015). Available at: http://www.who.int/tb/post2015_strategy/en/. (Accessed: 4th July 2017)</w:t>
      </w:r>
    </w:p>
    <w:p w14:paraId="3E9F7B82"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15.</w:t>
      </w:r>
      <w:r w:rsidRPr="00E056AE">
        <w:rPr>
          <w:rFonts w:ascii="Arial" w:hAnsi="Arial" w:cs="Arial"/>
          <w:noProof/>
        </w:rPr>
        <w:tab/>
        <w:t xml:space="preserve">Abubakar, I. </w:t>
      </w:r>
      <w:r w:rsidRPr="00E056AE">
        <w:rPr>
          <w:rFonts w:ascii="Arial" w:hAnsi="Arial" w:cs="Arial"/>
          <w:i/>
          <w:iCs/>
          <w:noProof/>
        </w:rPr>
        <w:t>et al.</w:t>
      </w:r>
      <w:r w:rsidRPr="00E056AE">
        <w:rPr>
          <w:rFonts w:ascii="Arial" w:hAnsi="Arial" w:cs="Arial"/>
          <w:noProof/>
        </w:rPr>
        <w:t xml:space="preserve"> Collaborative Tuberculosis Strategy for England.</w:t>
      </w:r>
    </w:p>
    <w:p w14:paraId="0751F6BB"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16.</w:t>
      </w:r>
      <w:r w:rsidRPr="00E056AE">
        <w:rPr>
          <w:rFonts w:ascii="Arial" w:hAnsi="Arial" w:cs="Arial"/>
          <w:noProof/>
        </w:rPr>
        <w:tab/>
        <w:t xml:space="preserve">Pamela Atieno, O. </w:t>
      </w:r>
      <w:r w:rsidRPr="00E056AE">
        <w:rPr>
          <w:rFonts w:ascii="Arial" w:hAnsi="Arial" w:cs="Arial"/>
          <w:i/>
          <w:iCs/>
          <w:noProof/>
        </w:rPr>
        <w:t>AN ANALYSIS OF THE STRENGTHS AND LIMITATION OF QUALITATIVE AND QUANTITATIVE RESEARCH PARADIGMS</w:t>
      </w:r>
      <w:r w:rsidRPr="00E056AE">
        <w:rPr>
          <w:rFonts w:ascii="Arial" w:hAnsi="Arial" w:cs="Arial"/>
          <w:noProof/>
        </w:rPr>
        <w:t>. (2009).</w:t>
      </w:r>
    </w:p>
    <w:p w14:paraId="6E7328DD"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17.</w:t>
      </w:r>
      <w:r w:rsidRPr="00E056AE">
        <w:rPr>
          <w:rFonts w:ascii="Arial" w:hAnsi="Arial" w:cs="Arial"/>
          <w:noProof/>
        </w:rPr>
        <w:tab/>
        <w:t xml:space="preserve">Leung, F.-H. &amp; Savithiri, R. Spotlight on focus groups. </w:t>
      </w:r>
      <w:r w:rsidRPr="00E056AE">
        <w:rPr>
          <w:rFonts w:ascii="Arial" w:hAnsi="Arial" w:cs="Arial"/>
          <w:i/>
          <w:iCs/>
          <w:noProof/>
        </w:rPr>
        <w:t>Can. Fam. Physician</w:t>
      </w:r>
      <w:r w:rsidRPr="00E056AE">
        <w:rPr>
          <w:rFonts w:ascii="Arial" w:hAnsi="Arial" w:cs="Arial"/>
          <w:noProof/>
        </w:rPr>
        <w:t xml:space="preserve"> </w:t>
      </w:r>
      <w:r w:rsidRPr="00E056AE">
        <w:rPr>
          <w:rFonts w:ascii="Arial" w:hAnsi="Arial" w:cs="Arial"/>
          <w:b/>
          <w:bCs/>
          <w:noProof/>
        </w:rPr>
        <w:t>55</w:t>
      </w:r>
      <w:r w:rsidRPr="00E056AE">
        <w:rPr>
          <w:rFonts w:ascii="Arial" w:hAnsi="Arial" w:cs="Arial"/>
          <w:noProof/>
        </w:rPr>
        <w:t>, 218–9 (2009).</w:t>
      </w:r>
    </w:p>
    <w:p w14:paraId="52F3AAAF"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lastRenderedPageBreak/>
        <w:t>18.</w:t>
      </w:r>
      <w:r w:rsidRPr="00E056AE">
        <w:rPr>
          <w:rFonts w:ascii="Arial" w:hAnsi="Arial" w:cs="Arial"/>
          <w:noProof/>
        </w:rPr>
        <w:tab/>
        <w:t xml:space="preserve">Spiegelberg, H. </w:t>
      </w:r>
      <w:r w:rsidRPr="00E056AE">
        <w:rPr>
          <w:rFonts w:ascii="Arial" w:hAnsi="Arial" w:cs="Arial"/>
          <w:i/>
          <w:iCs/>
          <w:noProof/>
        </w:rPr>
        <w:t>The Phenomenological Movement : a Historical Introduction</w:t>
      </w:r>
      <w:r w:rsidRPr="00E056AE">
        <w:rPr>
          <w:rFonts w:ascii="Arial" w:hAnsi="Arial" w:cs="Arial"/>
          <w:noProof/>
        </w:rPr>
        <w:t>. (Springer Netherlands, 1982).</w:t>
      </w:r>
    </w:p>
    <w:p w14:paraId="68E7D3EA"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19.</w:t>
      </w:r>
      <w:r w:rsidRPr="00E056AE">
        <w:rPr>
          <w:rFonts w:ascii="Arial" w:hAnsi="Arial" w:cs="Arial"/>
          <w:noProof/>
        </w:rPr>
        <w:tab/>
        <w:t xml:space="preserve">Giorgi, A. &amp; Giorgi, B. ‘Phenomonology’. in </w:t>
      </w:r>
      <w:r w:rsidRPr="00E056AE">
        <w:rPr>
          <w:rFonts w:ascii="Arial" w:hAnsi="Arial" w:cs="Arial"/>
          <w:i/>
          <w:iCs/>
          <w:noProof/>
        </w:rPr>
        <w:t>Qualitative Psychology</w:t>
      </w:r>
      <w:r w:rsidRPr="00E056AE">
        <w:rPr>
          <w:rFonts w:ascii="Arial" w:hAnsi="Arial" w:cs="Arial"/>
          <w:noProof/>
        </w:rPr>
        <w:t xml:space="preserve"> (ed. Smith, J. A.) 25–50 (SAGE, 2003).</w:t>
      </w:r>
    </w:p>
    <w:p w14:paraId="20B997C5"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20.</w:t>
      </w:r>
      <w:r w:rsidRPr="00E056AE">
        <w:rPr>
          <w:rFonts w:ascii="Arial" w:hAnsi="Arial" w:cs="Arial"/>
          <w:noProof/>
        </w:rPr>
        <w:tab/>
        <w:t xml:space="preserve">Davidsen, A. S. Phenomenological Approaches in Psychology and Health Sciences. </w:t>
      </w:r>
      <w:r w:rsidRPr="00E056AE">
        <w:rPr>
          <w:rFonts w:ascii="Arial" w:hAnsi="Arial" w:cs="Arial"/>
          <w:i/>
          <w:iCs/>
          <w:noProof/>
        </w:rPr>
        <w:t>Qual. Res. Psychol.</w:t>
      </w:r>
      <w:r w:rsidRPr="00E056AE">
        <w:rPr>
          <w:rFonts w:ascii="Arial" w:hAnsi="Arial" w:cs="Arial"/>
          <w:noProof/>
        </w:rPr>
        <w:t xml:space="preserve"> </w:t>
      </w:r>
      <w:r w:rsidRPr="00E056AE">
        <w:rPr>
          <w:rFonts w:ascii="Arial" w:hAnsi="Arial" w:cs="Arial"/>
          <w:b/>
          <w:bCs/>
          <w:noProof/>
        </w:rPr>
        <w:t>10</w:t>
      </w:r>
      <w:r w:rsidRPr="00E056AE">
        <w:rPr>
          <w:rFonts w:ascii="Arial" w:hAnsi="Arial" w:cs="Arial"/>
          <w:noProof/>
        </w:rPr>
        <w:t>, 318–339 (2013).</w:t>
      </w:r>
    </w:p>
    <w:p w14:paraId="0B00194A"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21.</w:t>
      </w:r>
      <w:r w:rsidRPr="00E056AE">
        <w:rPr>
          <w:rFonts w:ascii="Arial" w:hAnsi="Arial" w:cs="Arial"/>
          <w:noProof/>
        </w:rPr>
        <w:tab/>
        <w:t xml:space="preserve">Johnson, M., Rn, T. L., Ma, B. &amp; White, A. Arguments for`Britishfor`British Pluralism’ in qualitative health research. </w:t>
      </w:r>
      <w:r w:rsidRPr="00E056AE">
        <w:rPr>
          <w:rFonts w:ascii="Arial" w:hAnsi="Arial" w:cs="Arial"/>
          <w:i/>
          <w:iCs/>
          <w:noProof/>
        </w:rPr>
        <w:t>J. Adv. Nurs.</w:t>
      </w:r>
      <w:r w:rsidRPr="00E056AE">
        <w:rPr>
          <w:rFonts w:ascii="Arial" w:hAnsi="Arial" w:cs="Arial"/>
          <w:noProof/>
        </w:rPr>
        <w:t xml:space="preserve"> </w:t>
      </w:r>
      <w:r w:rsidRPr="00E056AE">
        <w:rPr>
          <w:rFonts w:ascii="Arial" w:hAnsi="Arial" w:cs="Arial"/>
          <w:b/>
          <w:bCs/>
          <w:noProof/>
        </w:rPr>
        <w:t>33</w:t>
      </w:r>
      <w:r w:rsidRPr="00E056AE">
        <w:rPr>
          <w:rFonts w:ascii="Arial" w:hAnsi="Arial" w:cs="Arial"/>
          <w:noProof/>
        </w:rPr>
        <w:t>, 243–249 (2000).</w:t>
      </w:r>
    </w:p>
    <w:p w14:paraId="1DD6F29E"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22.</w:t>
      </w:r>
      <w:r w:rsidRPr="00E056AE">
        <w:rPr>
          <w:rFonts w:ascii="Arial" w:hAnsi="Arial" w:cs="Arial"/>
          <w:noProof/>
        </w:rPr>
        <w:tab/>
        <w:t>Point of Care Foundation. What is Experience-based co-design? Available at: https://www.pointofcarefoundation.org.uk/resource/experience-based-co-design-ebcd-toolkit/step-by-step-guide/1-experience-based-co-design/. (Accessed: 3rd January 2019)</w:t>
      </w:r>
    </w:p>
    <w:p w14:paraId="5A265CDB"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23.</w:t>
      </w:r>
      <w:r w:rsidRPr="00E056AE">
        <w:rPr>
          <w:rFonts w:ascii="Arial" w:hAnsi="Arial" w:cs="Arial"/>
          <w:noProof/>
        </w:rPr>
        <w:tab/>
        <w:t xml:space="preserve">Murphy, J. W. Phenomenological social science: Research in the public interest. </w:t>
      </w:r>
      <w:r w:rsidRPr="00E056AE">
        <w:rPr>
          <w:rFonts w:ascii="Arial" w:hAnsi="Arial" w:cs="Arial"/>
          <w:i/>
          <w:iCs/>
          <w:noProof/>
        </w:rPr>
        <w:t>Soc. Sci. J.</w:t>
      </w:r>
      <w:r w:rsidRPr="00E056AE">
        <w:rPr>
          <w:rFonts w:ascii="Arial" w:hAnsi="Arial" w:cs="Arial"/>
          <w:noProof/>
        </w:rPr>
        <w:t xml:space="preserve"> </w:t>
      </w:r>
      <w:r w:rsidRPr="00E056AE">
        <w:rPr>
          <w:rFonts w:ascii="Arial" w:hAnsi="Arial" w:cs="Arial"/>
          <w:b/>
          <w:bCs/>
          <w:noProof/>
        </w:rPr>
        <w:t>23</w:t>
      </w:r>
      <w:r w:rsidRPr="00E056AE">
        <w:rPr>
          <w:rFonts w:ascii="Arial" w:hAnsi="Arial" w:cs="Arial"/>
          <w:noProof/>
        </w:rPr>
        <w:t>, 327–343 (1986).</w:t>
      </w:r>
    </w:p>
    <w:p w14:paraId="0CC5260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24.</w:t>
      </w:r>
      <w:r w:rsidRPr="00E056AE">
        <w:rPr>
          <w:rFonts w:ascii="Arial" w:hAnsi="Arial" w:cs="Arial"/>
          <w:noProof/>
        </w:rPr>
        <w:tab/>
        <w:t xml:space="preserve">Healy, S. Toward an epistemology of public participation. </w:t>
      </w:r>
      <w:r w:rsidRPr="00E056AE">
        <w:rPr>
          <w:rFonts w:ascii="Arial" w:hAnsi="Arial" w:cs="Arial"/>
          <w:i/>
          <w:iCs/>
          <w:noProof/>
        </w:rPr>
        <w:t>J. Environ. Manage.</w:t>
      </w:r>
      <w:r w:rsidRPr="00E056AE">
        <w:rPr>
          <w:rFonts w:ascii="Arial" w:hAnsi="Arial" w:cs="Arial"/>
          <w:noProof/>
        </w:rPr>
        <w:t xml:space="preserve"> </w:t>
      </w:r>
      <w:r w:rsidRPr="00E056AE">
        <w:rPr>
          <w:rFonts w:ascii="Arial" w:hAnsi="Arial" w:cs="Arial"/>
          <w:b/>
          <w:bCs/>
          <w:noProof/>
        </w:rPr>
        <w:t>90</w:t>
      </w:r>
      <w:r w:rsidRPr="00E056AE">
        <w:rPr>
          <w:rFonts w:ascii="Arial" w:hAnsi="Arial" w:cs="Arial"/>
          <w:noProof/>
        </w:rPr>
        <w:t>, 1644–1654 (2009).</w:t>
      </w:r>
    </w:p>
    <w:p w14:paraId="024FFC8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25.</w:t>
      </w:r>
      <w:r w:rsidRPr="00E056AE">
        <w:rPr>
          <w:rFonts w:ascii="Arial" w:hAnsi="Arial" w:cs="Arial"/>
          <w:noProof/>
        </w:rPr>
        <w:tab/>
        <w:t xml:space="preserve">Saunders, B. </w:t>
      </w:r>
      <w:r w:rsidRPr="00E056AE">
        <w:rPr>
          <w:rFonts w:ascii="Arial" w:hAnsi="Arial" w:cs="Arial"/>
          <w:i/>
          <w:iCs/>
          <w:noProof/>
        </w:rPr>
        <w:t>et al.</w:t>
      </w:r>
      <w:r w:rsidRPr="00E056AE">
        <w:rPr>
          <w:rFonts w:ascii="Arial" w:hAnsi="Arial" w:cs="Arial"/>
          <w:noProof/>
        </w:rPr>
        <w:t xml:space="preserve"> Saturation in qualitative research: exploring its conceptualization and operationalization. </w:t>
      </w:r>
      <w:r w:rsidRPr="00E056AE">
        <w:rPr>
          <w:rFonts w:ascii="Arial" w:hAnsi="Arial" w:cs="Arial"/>
          <w:i/>
          <w:iCs/>
          <w:noProof/>
        </w:rPr>
        <w:t>Qual. Quant.</w:t>
      </w:r>
      <w:r w:rsidRPr="00E056AE">
        <w:rPr>
          <w:rFonts w:ascii="Arial" w:hAnsi="Arial" w:cs="Arial"/>
          <w:noProof/>
        </w:rPr>
        <w:t xml:space="preserve"> </w:t>
      </w:r>
      <w:r w:rsidRPr="00E056AE">
        <w:rPr>
          <w:rFonts w:ascii="Arial" w:hAnsi="Arial" w:cs="Arial"/>
          <w:b/>
          <w:bCs/>
          <w:noProof/>
        </w:rPr>
        <w:t>52</w:t>
      </w:r>
      <w:r w:rsidRPr="00E056AE">
        <w:rPr>
          <w:rFonts w:ascii="Arial" w:hAnsi="Arial" w:cs="Arial"/>
          <w:noProof/>
        </w:rPr>
        <w:t>, 1893–1907 (2018).</w:t>
      </w:r>
    </w:p>
    <w:p w14:paraId="5196E2A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26.</w:t>
      </w:r>
      <w:r w:rsidRPr="00E056AE">
        <w:rPr>
          <w:rFonts w:ascii="Arial" w:hAnsi="Arial" w:cs="Arial"/>
          <w:noProof/>
        </w:rPr>
        <w:tab/>
        <w:t xml:space="preserve">Seedat, F., Hargreaves, S. &amp; Friedland, J. S. Engaging new migrants in infectious disease screening: a qualitative semi-structured interview study of UK migrant community health-care leads. </w:t>
      </w:r>
      <w:r w:rsidRPr="00E056AE">
        <w:rPr>
          <w:rFonts w:ascii="Arial" w:hAnsi="Arial" w:cs="Arial"/>
          <w:i/>
          <w:iCs/>
          <w:noProof/>
        </w:rPr>
        <w:t>PLoS One</w:t>
      </w:r>
      <w:r w:rsidRPr="00E056AE">
        <w:rPr>
          <w:rFonts w:ascii="Arial" w:hAnsi="Arial" w:cs="Arial"/>
          <w:noProof/>
        </w:rPr>
        <w:t xml:space="preserve"> </w:t>
      </w:r>
      <w:r w:rsidRPr="00E056AE">
        <w:rPr>
          <w:rFonts w:ascii="Arial" w:hAnsi="Arial" w:cs="Arial"/>
          <w:b/>
          <w:bCs/>
          <w:noProof/>
        </w:rPr>
        <w:t>9</w:t>
      </w:r>
      <w:r w:rsidRPr="00E056AE">
        <w:rPr>
          <w:rFonts w:ascii="Arial" w:hAnsi="Arial" w:cs="Arial"/>
          <w:noProof/>
        </w:rPr>
        <w:t>, e108261 (2014).</w:t>
      </w:r>
    </w:p>
    <w:p w14:paraId="24817823"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27.</w:t>
      </w:r>
      <w:r w:rsidRPr="00E056AE">
        <w:rPr>
          <w:rFonts w:ascii="Arial" w:hAnsi="Arial" w:cs="Arial"/>
          <w:noProof/>
        </w:rPr>
        <w:tab/>
        <w:t>Data Protection Act 2018.</w:t>
      </w:r>
    </w:p>
    <w:p w14:paraId="15EA96EE"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28.</w:t>
      </w:r>
      <w:r w:rsidRPr="00E056AE">
        <w:rPr>
          <w:rFonts w:ascii="Arial" w:hAnsi="Arial" w:cs="Arial"/>
          <w:noProof/>
        </w:rPr>
        <w:tab/>
        <w:t xml:space="preserve">European Parliament and the Council of the European Union. </w:t>
      </w:r>
      <w:r w:rsidRPr="00E056AE">
        <w:rPr>
          <w:rFonts w:ascii="Arial" w:hAnsi="Arial" w:cs="Arial"/>
          <w:i/>
          <w:iCs/>
          <w:noProof/>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E056AE">
        <w:rPr>
          <w:rFonts w:ascii="Arial" w:hAnsi="Arial" w:cs="Arial"/>
          <w:noProof/>
        </w:rPr>
        <w:t>. (2016).</w:t>
      </w:r>
    </w:p>
    <w:p w14:paraId="63ACF57C"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29.</w:t>
      </w:r>
      <w:r w:rsidRPr="00E056AE">
        <w:rPr>
          <w:rFonts w:ascii="Arial" w:hAnsi="Arial" w:cs="Arial"/>
          <w:noProof/>
        </w:rPr>
        <w:tab/>
        <w:t>Health Research Authority. UK Policy Framework for Health and Social Care Research - Health Research Authority. (2018). Available at: https://www.hra.nhs.uk/planning-and-improving-research/policies-standards-legislation/uk-policy-framework-health-social-care-research/. (Accessed: 7th December 2018)</w:t>
      </w:r>
    </w:p>
    <w:p w14:paraId="7D528BC1" w14:textId="77777777" w:rsidR="009553AE" w:rsidRPr="00E056AE" w:rsidRDefault="009553AE" w:rsidP="009553AE">
      <w:pPr>
        <w:widowControl w:val="0"/>
        <w:autoSpaceDE w:val="0"/>
        <w:autoSpaceDN w:val="0"/>
        <w:adjustRightInd w:val="0"/>
        <w:spacing w:line="240" w:lineRule="auto"/>
        <w:ind w:left="640" w:hanging="640"/>
        <w:rPr>
          <w:rFonts w:ascii="Arial" w:hAnsi="Arial" w:cs="Arial"/>
          <w:noProof/>
        </w:rPr>
      </w:pPr>
      <w:r w:rsidRPr="00E056AE">
        <w:rPr>
          <w:rFonts w:ascii="Arial" w:hAnsi="Arial" w:cs="Arial"/>
          <w:noProof/>
        </w:rPr>
        <w:t>30.</w:t>
      </w:r>
      <w:r w:rsidRPr="00E056AE">
        <w:rPr>
          <w:rFonts w:ascii="Arial" w:hAnsi="Arial" w:cs="Arial"/>
          <w:noProof/>
        </w:rPr>
        <w:tab/>
        <w:t xml:space="preserve">Corden, A. &amp; Sainsbury, R. </w:t>
      </w:r>
      <w:r w:rsidRPr="00E056AE">
        <w:rPr>
          <w:rFonts w:ascii="Arial" w:hAnsi="Arial" w:cs="Arial"/>
          <w:i/>
          <w:iCs/>
          <w:noProof/>
        </w:rPr>
        <w:t>Using verbatim quotations in reporting qualitative social research: researchers’ views</w:t>
      </w:r>
      <w:r w:rsidRPr="00E056AE">
        <w:rPr>
          <w:rFonts w:ascii="Arial" w:hAnsi="Arial" w:cs="Arial"/>
          <w:noProof/>
        </w:rPr>
        <w:t>. (2136).</w:t>
      </w:r>
    </w:p>
    <w:p w14:paraId="1FC85A6A" w14:textId="7A46710A" w:rsidR="00475FDA" w:rsidRPr="00E056AE" w:rsidRDefault="00C04E20" w:rsidP="003802A1">
      <w:pPr>
        <w:spacing w:line="240" w:lineRule="auto"/>
        <w:rPr>
          <w:rFonts w:cstheme="minorHAnsi"/>
          <w:szCs w:val="22"/>
        </w:rPr>
      </w:pPr>
      <w:r w:rsidRPr="00E056AE">
        <w:rPr>
          <w:rFonts w:cstheme="minorHAnsi"/>
          <w:szCs w:val="22"/>
        </w:rPr>
        <w:fldChar w:fldCharType="end"/>
      </w:r>
    </w:p>
    <w:p w14:paraId="431BDBB5" w14:textId="77777777" w:rsidR="00093582" w:rsidRPr="00E056AE" w:rsidRDefault="00093582">
      <w:pPr>
        <w:spacing w:after="0" w:line="240" w:lineRule="auto"/>
        <w:rPr>
          <w:rFonts w:eastAsiaTheme="majorEastAsia" w:cstheme="minorHAnsi"/>
          <w:b/>
          <w:bCs/>
          <w:spacing w:val="-3"/>
          <w:szCs w:val="22"/>
        </w:rPr>
      </w:pPr>
      <w:r w:rsidRPr="00E056AE">
        <w:rPr>
          <w:rFonts w:cstheme="minorHAnsi"/>
          <w:spacing w:val="-3"/>
          <w:szCs w:val="22"/>
        </w:rPr>
        <w:br w:type="page"/>
      </w:r>
    </w:p>
    <w:p w14:paraId="39DA848B" w14:textId="1346E21D" w:rsidR="00475FDA" w:rsidRPr="00E056AE"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sidRPr="00E056AE">
        <w:rPr>
          <w:rFonts w:asciiTheme="minorHAnsi" w:hAnsiTheme="minorHAnsi" w:cstheme="minorHAnsi"/>
          <w:color w:val="auto"/>
          <w:spacing w:val="-3"/>
          <w:szCs w:val="22"/>
        </w:rPr>
        <w:lastRenderedPageBreak/>
        <w:t>1</w:t>
      </w:r>
      <w:r w:rsidR="00997241" w:rsidRPr="00E056AE">
        <w:rPr>
          <w:rFonts w:asciiTheme="minorHAnsi" w:hAnsiTheme="minorHAnsi" w:cstheme="minorHAnsi"/>
          <w:color w:val="auto"/>
          <w:spacing w:val="-3"/>
          <w:szCs w:val="22"/>
        </w:rPr>
        <w:t>1</w:t>
      </w:r>
      <w:r w:rsidR="00475FDA" w:rsidRPr="00E056AE">
        <w:rPr>
          <w:rFonts w:asciiTheme="minorHAnsi" w:hAnsiTheme="minorHAnsi" w:cstheme="minorHAnsi"/>
          <w:color w:val="auto"/>
          <w:spacing w:val="-3"/>
          <w:szCs w:val="22"/>
        </w:rPr>
        <w:t xml:space="preserve">. </w:t>
      </w:r>
      <w:r w:rsidR="00864F75" w:rsidRPr="00E056AE">
        <w:rPr>
          <w:rFonts w:asciiTheme="minorHAnsi" w:hAnsiTheme="minorHAnsi" w:cstheme="minorHAnsi"/>
          <w:color w:val="auto"/>
          <w:spacing w:val="-3"/>
          <w:szCs w:val="22"/>
        </w:rPr>
        <w:tab/>
      </w:r>
      <w:r w:rsidR="00475FDA" w:rsidRPr="00E056AE">
        <w:rPr>
          <w:rFonts w:asciiTheme="minorHAnsi" w:hAnsiTheme="minorHAnsi" w:cstheme="minorHAnsi"/>
          <w:color w:val="auto"/>
          <w:spacing w:val="-3"/>
          <w:szCs w:val="22"/>
        </w:rPr>
        <w:t>APPENDICIES</w:t>
      </w:r>
    </w:p>
    <w:p w14:paraId="3F750A43" w14:textId="77777777" w:rsidR="003B4870" w:rsidRPr="00E056AE" w:rsidRDefault="003B4870" w:rsidP="003B4870">
      <w:pPr>
        <w:rPr>
          <w:rFonts w:cstheme="minorHAnsi"/>
        </w:rPr>
      </w:pPr>
    </w:p>
    <w:p w14:paraId="51987446" w14:textId="103713DB" w:rsidR="00475FDA" w:rsidRPr="00E056AE" w:rsidRDefault="00552E09" w:rsidP="004B3BCA">
      <w:pPr>
        <w:autoSpaceDE w:val="0"/>
        <w:autoSpaceDN w:val="0"/>
        <w:adjustRightInd w:val="0"/>
        <w:spacing w:line="240" w:lineRule="auto"/>
        <w:rPr>
          <w:rFonts w:cstheme="minorHAnsi"/>
          <w:b/>
          <w:bCs/>
          <w:szCs w:val="22"/>
          <w:lang w:eastAsia="en-GB"/>
        </w:rPr>
      </w:pPr>
      <w:r w:rsidRPr="00E056AE">
        <w:rPr>
          <w:rFonts w:cstheme="minorHAnsi"/>
          <w:b/>
          <w:bCs/>
          <w:szCs w:val="22"/>
          <w:lang w:eastAsia="en-GB"/>
        </w:rPr>
        <w:t>1</w:t>
      </w:r>
      <w:r w:rsidR="00997241" w:rsidRPr="00E056AE">
        <w:rPr>
          <w:rFonts w:cstheme="minorHAnsi"/>
          <w:b/>
          <w:bCs/>
          <w:szCs w:val="22"/>
          <w:lang w:eastAsia="en-GB"/>
        </w:rPr>
        <w:t>1</w:t>
      </w:r>
      <w:r w:rsidR="003B4870" w:rsidRPr="00E056AE">
        <w:rPr>
          <w:rFonts w:cstheme="minorHAnsi"/>
          <w:b/>
          <w:bCs/>
          <w:szCs w:val="22"/>
          <w:lang w:eastAsia="en-GB"/>
        </w:rPr>
        <w:t>.1</w:t>
      </w:r>
      <w:r w:rsidR="00864F75" w:rsidRPr="00E056AE">
        <w:rPr>
          <w:rFonts w:cstheme="minorHAnsi"/>
          <w:b/>
          <w:bCs/>
          <w:szCs w:val="22"/>
          <w:lang w:eastAsia="en-GB"/>
        </w:rPr>
        <w:tab/>
      </w:r>
      <w:r w:rsidR="003B4870" w:rsidRPr="00E056AE">
        <w:rPr>
          <w:rFonts w:cstheme="minorHAnsi"/>
          <w:b/>
          <w:bCs/>
          <w:szCs w:val="22"/>
          <w:lang w:eastAsia="en-GB"/>
        </w:rPr>
        <w:t xml:space="preserve">Appendix 1- </w:t>
      </w:r>
      <w:r w:rsidR="00864F75" w:rsidRPr="00E056AE">
        <w:rPr>
          <w:rFonts w:cstheme="minorHAnsi"/>
          <w:b/>
          <w:bCs/>
          <w:szCs w:val="22"/>
          <w:lang w:eastAsia="en-GB"/>
        </w:rPr>
        <w:t>Required d</w:t>
      </w:r>
      <w:r w:rsidR="00475FDA" w:rsidRPr="00E056AE">
        <w:rPr>
          <w:rFonts w:cstheme="minorHAnsi"/>
          <w:b/>
          <w:bCs/>
          <w:szCs w:val="22"/>
          <w:lang w:eastAsia="en-GB"/>
        </w:rPr>
        <w:t xml:space="preserve">ocumentation </w:t>
      </w:r>
    </w:p>
    <w:p w14:paraId="134D5A71" w14:textId="7F51DFDB" w:rsidR="00093582" w:rsidRPr="00E056AE" w:rsidRDefault="00667194" w:rsidP="00667194">
      <w:pPr>
        <w:pStyle w:val="ListParagraph"/>
        <w:numPr>
          <w:ilvl w:val="0"/>
          <w:numId w:val="25"/>
        </w:numPr>
        <w:spacing w:after="0" w:line="240" w:lineRule="auto"/>
        <w:rPr>
          <w:rFonts w:cstheme="minorHAnsi"/>
          <w:bCs/>
          <w:lang w:eastAsia="en-GB"/>
        </w:rPr>
      </w:pPr>
      <w:r w:rsidRPr="00E056AE">
        <w:rPr>
          <w:rFonts w:cstheme="minorHAnsi"/>
          <w:bCs/>
          <w:lang w:eastAsia="en-GB"/>
        </w:rPr>
        <w:t>Research team CV’s</w:t>
      </w:r>
    </w:p>
    <w:p w14:paraId="0305C2EF" w14:textId="0323C47E" w:rsidR="00667194" w:rsidRPr="00E056AE" w:rsidRDefault="00667194" w:rsidP="00667194">
      <w:pPr>
        <w:pStyle w:val="ListParagraph"/>
        <w:numPr>
          <w:ilvl w:val="0"/>
          <w:numId w:val="25"/>
        </w:numPr>
        <w:spacing w:after="0" w:line="240" w:lineRule="auto"/>
        <w:rPr>
          <w:rFonts w:cstheme="minorHAnsi"/>
          <w:bCs/>
          <w:lang w:eastAsia="en-GB"/>
        </w:rPr>
      </w:pPr>
      <w:r w:rsidRPr="00E056AE">
        <w:rPr>
          <w:rFonts w:cstheme="minorHAnsi"/>
          <w:bCs/>
          <w:lang w:eastAsia="en-GB"/>
        </w:rPr>
        <w:t>Patients information sheets (migrant patient participants and health-service providers)</w:t>
      </w:r>
    </w:p>
    <w:p w14:paraId="0E35BF83" w14:textId="3CA245C0" w:rsidR="00667194" w:rsidRPr="00E056AE" w:rsidRDefault="00667194" w:rsidP="00667194">
      <w:pPr>
        <w:pStyle w:val="ListParagraph"/>
        <w:numPr>
          <w:ilvl w:val="0"/>
          <w:numId w:val="25"/>
        </w:numPr>
        <w:spacing w:after="0" w:line="240" w:lineRule="auto"/>
        <w:rPr>
          <w:rFonts w:cstheme="minorHAnsi"/>
          <w:bCs/>
          <w:lang w:eastAsia="en-GB"/>
        </w:rPr>
      </w:pPr>
      <w:r w:rsidRPr="00E056AE">
        <w:rPr>
          <w:rFonts w:cstheme="minorHAnsi"/>
          <w:bCs/>
          <w:lang w:eastAsia="en-GB"/>
        </w:rPr>
        <w:t>Consent form</w:t>
      </w:r>
    </w:p>
    <w:p w14:paraId="385AA56D" w14:textId="4CC05DB0" w:rsidR="00667194" w:rsidRPr="00E056AE" w:rsidRDefault="00667194" w:rsidP="00667194">
      <w:pPr>
        <w:pStyle w:val="ListParagraph"/>
        <w:numPr>
          <w:ilvl w:val="0"/>
          <w:numId w:val="25"/>
        </w:numPr>
        <w:spacing w:after="0" w:line="240" w:lineRule="auto"/>
        <w:rPr>
          <w:rFonts w:cstheme="minorHAnsi"/>
          <w:bCs/>
          <w:lang w:eastAsia="en-GB"/>
        </w:rPr>
      </w:pPr>
      <w:r w:rsidRPr="00E056AE">
        <w:rPr>
          <w:rFonts w:cstheme="minorHAnsi"/>
          <w:bCs/>
          <w:lang w:eastAsia="en-GB"/>
        </w:rPr>
        <w:t>Topic guides (migrant patient participants and health-service providers)</w:t>
      </w:r>
    </w:p>
    <w:p w14:paraId="0662EF8A" w14:textId="77777777" w:rsidR="00475FDA" w:rsidRPr="00E056AE" w:rsidRDefault="00475FDA" w:rsidP="003802A1">
      <w:pPr>
        <w:spacing w:line="240" w:lineRule="auto"/>
        <w:rPr>
          <w:rFonts w:cstheme="minorHAnsi"/>
          <w:b/>
          <w:bCs/>
          <w:color w:val="0000FF"/>
          <w:szCs w:val="22"/>
          <w:lang w:eastAsia="en-GB"/>
        </w:rPr>
      </w:pPr>
    </w:p>
    <w:p w14:paraId="63F72DC6" w14:textId="4F69321F" w:rsidR="00475FDA" w:rsidRPr="00E056AE" w:rsidRDefault="00401DE9" w:rsidP="004B3BCA">
      <w:pPr>
        <w:spacing w:line="240" w:lineRule="auto"/>
        <w:rPr>
          <w:rFonts w:cstheme="minorHAnsi"/>
          <w:b/>
          <w:bCs/>
          <w:szCs w:val="22"/>
          <w:lang w:eastAsia="en-GB"/>
        </w:rPr>
      </w:pPr>
      <w:r w:rsidRPr="00E056AE">
        <w:rPr>
          <w:rFonts w:cstheme="minorHAnsi"/>
          <w:b/>
          <w:szCs w:val="22"/>
          <w:lang w:eastAsia="en-GB"/>
        </w:rPr>
        <w:t>1</w:t>
      </w:r>
      <w:r w:rsidR="00997241" w:rsidRPr="00E056AE">
        <w:rPr>
          <w:rFonts w:cstheme="minorHAnsi"/>
          <w:b/>
          <w:szCs w:val="22"/>
          <w:lang w:eastAsia="en-GB"/>
        </w:rPr>
        <w:t>1</w:t>
      </w:r>
      <w:r w:rsidR="003B4870" w:rsidRPr="00E056AE">
        <w:rPr>
          <w:rFonts w:cstheme="minorHAnsi"/>
          <w:b/>
          <w:szCs w:val="22"/>
          <w:lang w:eastAsia="en-GB"/>
        </w:rPr>
        <w:t>.2</w:t>
      </w:r>
      <w:r w:rsidR="00475FDA" w:rsidRPr="00E056AE">
        <w:rPr>
          <w:rFonts w:cstheme="minorHAnsi"/>
          <w:szCs w:val="22"/>
          <w:lang w:eastAsia="en-GB"/>
        </w:rPr>
        <w:t xml:space="preserve"> </w:t>
      </w:r>
      <w:r w:rsidR="00864F75" w:rsidRPr="00E056AE">
        <w:rPr>
          <w:rFonts w:cstheme="minorHAnsi"/>
          <w:szCs w:val="22"/>
          <w:lang w:eastAsia="en-GB"/>
        </w:rPr>
        <w:tab/>
      </w:r>
      <w:r w:rsidR="00475FDA" w:rsidRPr="00E056AE">
        <w:rPr>
          <w:rFonts w:cstheme="minorHAnsi"/>
          <w:b/>
          <w:bCs/>
          <w:szCs w:val="22"/>
          <w:lang w:eastAsia="en-GB"/>
        </w:rPr>
        <w:t>Appe</w:t>
      </w:r>
      <w:r w:rsidR="003B4870" w:rsidRPr="00E056AE">
        <w:rPr>
          <w:rFonts w:cstheme="minorHAnsi"/>
          <w:b/>
          <w:bCs/>
          <w:szCs w:val="22"/>
          <w:lang w:eastAsia="en-GB"/>
        </w:rPr>
        <w:t>ndix 2</w:t>
      </w:r>
      <w:r w:rsidR="00475FDA" w:rsidRPr="00E056AE">
        <w:rPr>
          <w:rFonts w:cstheme="minorHAnsi"/>
          <w:b/>
          <w:bCs/>
          <w:szCs w:val="22"/>
          <w:lang w:eastAsia="en-GB"/>
        </w:rPr>
        <w:t xml:space="preserve"> – Schedule of Procedures</w:t>
      </w:r>
      <w:r w:rsidR="00973EB9" w:rsidRPr="00E056AE">
        <w:rPr>
          <w:rFonts w:cstheme="minorHAnsi"/>
          <w:b/>
          <w:bCs/>
          <w:szCs w:val="22"/>
          <w:lang w:eastAsia="en-GB"/>
        </w:rPr>
        <w:t xml:space="preserve"> (Example)</w:t>
      </w:r>
    </w:p>
    <w:p w14:paraId="56C2DDD7" w14:textId="77777777" w:rsidR="004B3BCA" w:rsidRPr="00E056AE" w:rsidRDefault="004B3BCA" w:rsidP="004B3BCA">
      <w:pPr>
        <w:spacing w:line="240" w:lineRule="auto"/>
        <w:rPr>
          <w:rFonts w:cstheme="minorHAnsi"/>
          <w:b/>
          <w:bCs/>
          <w:szCs w:val="22"/>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2425"/>
        <w:gridCol w:w="2552"/>
        <w:gridCol w:w="2409"/>
      </w:tblGrid>
      <w:tr w:rsidR="00475FDA" w:rsidRPr="00E056AE" w14:paraId="591119A1" w14:textId="77777777" w:rsidTr="0044459B">
        <w:trPr>
          <w:trHeight w:val="454"/>
        </w:trPr>
        <w:tc>
          <w:tcPr>
            <w:tcW w:w="2815" w:type="dxa"/>
            <w:vMerge w:val="restart"/>
          </w:tcPr>
          <w:p w14:paraId="1CA40309" w14:textId="77777777" w:rsidR="00475FDA" w:rsidRPr="00E056AE" w:rsidRDefault="00475FDA" w:rsidP="003802A1">
            <w:pPr>
              <w:spacing w:line="240" w:lineRule="auto"/>
              <w:rPr>
                <w:rFonts w:cstheme="minorHAnsi"/>
                <w:b/>
                <w:iCs/>
                <w:szCs w:val="22"/>
              </w:rPr>
            </w:pPr>
            <w:r w:rsidRPr="00E056AE">
              <w:rPr>
                <w:rFonts w:cstheme="minorHAnsi"/>
                <w:b/>
                <w:iCs/>
                <w:szCs w:val="22"/>
              </w:rPr>
              <w:t>Procedures</w:t>
            </w:r>
          </w:p>
        </w:tc>
        <w:tc>
          <w:tcPr>
            <w:tcW w:w="7386" w:type="dxa"/>
            <w:gridSpan w:val="3"/>
            <w:vAlign w:val="center"/>
          </w:tcPr>
          <w:p w14:paraId="5B153EA5" w14:textId="77777777" w:rsidR="00475FDA" w:rsidRPr="00E056AE" w:rsidRDefault="00475FDA" w:rsidP="003802A1">
            <w:pPr>
              <w:spacing w:line="240" w:lineRule="auto"/>
              <w:rPr>
                <w:rFonts w:cstheme="minorHAnsi"/>
                <w:b/>
                <w:iCs/>
                <w:szCs w:val="22"/>
              </w:rPr>
            </w:pPr>
            <w:r w:rsidRPr="00E056AE">
              <w:rPr>
                <w:rFonts w:cstheme="minorHAnsi"/>
                <w:b/>
                <w:iCs/>
                <w:szCs w:val="22"/>
              </w:rPr>
              <w:t>Visits (insert visit numbers as appropriate)</w:t>
            </w:r>
          </w:p>
        </w:tc>
      </w:tr>
      <w:tr w:rsidR="00667194" w:rsidRPr="00E056AE" w14:paraId="783ED491" w14:textId="77777777" w:rsidTr="0044459B">
        <w:trPr>
          <w:trHeight w:val="454"/>
        </w:trPr>
        <w:tc>
          <w:tcPr>
            <w:tcW w:w="2815" w:type="dxa"/>
            <w:vMerge/>
          </w:tcPr>
          <w:p w14:paraId="00111F97" w14:textId="77777777" w:rsidR="00667194" w:rsidRPr="00E056AE" w:rsidRDefault="00667194" w:rsidP="003802A1">
            <w:pPr>
              <w:spacing w:line="240" w:lineRule="auto"/>
              <w:rPr>
                <w:rFonts w:cstheme="minorHAnsi"/>
                <w:b/>
                <w:iCs/>
                <w:szCs w:val="22"/>
              </w:rPr>
            </w:pPr>
          </w:p>
        </w:tc>
        <w:tc>
          <w:tcPr>
            <w:tcW w:w="2425" w:type="dxa"/>
            <w:vAlign w:val="center"/>
          </w:tcPr>
          <w:p w14:paraId="2BF59F20" w14:textId="77777777" w:rsidR="00667194" w:rsidRPr="00E056AE" w:rsidRDefault="00667194" w:rsidP="003802A1">
            <w:pPr>
              <w:spacing w:line="240" w:lineRule="auto"/>
              <w:rPr>
                <w:rFonts w:cstheme="minorHAnsi"/>
                <w:b/>
                <w:iCs/>
                <w:szCs w:val="22"/>
              </w:rPr>
            </w:pPr>
            <w:r w:rsidRPr="00E056AE">
              <w:rPr>
                <w:rFonts w:cstheme="minorHAnsi"/>
                <w:b/>
                <w:iCs/>
                <w:szCs w:val="22"/>
              </w:rPr>
              <w:t>Screening</w:t>
            </w:r>
          </w:p>
        </w:tc>
        <w:tc>
          <w:tcPr>
            <w:tcW w:w="2552" w:type="dxa"/>
            <w:vAlign w:val="center"/>
          </w:tcPr>
          <w:p w14:paraId="08E65C1B" w14:textId="1146572D" w:rsidR="00667194" w:rsidRPr="00E056AE" w:rsidRDefault="00667194" w:rsidP="003802A1">
            <w:pPr>
              <w:spacing w:line="240" w:lineRule="auto"/>
              <w:rPr>
                <w:rFonts w:cstheme="minorHAnsi"/>
                <w:b/>
                <w:iCs/>
                <w:szCs w:val="22"/>
              </w:rPr>
            </w:pPr>
            <w:r w:rsidRPr="00E056AE">
              <w:rPr>
                <w:rFonts w:cstheme="minorHAnsi"/>
                <w:b/>
                <w:iCs/>
                <w:szCs w:val="22"/>
              </w:rPr>
              <w:t>Consenting</w:t>
            </w:r>
          </w:p>
        </w:tc>
        <w:tc>
          <w:tcPr>
            <w:tcW w:w="2409" w:type="dxa"/>
            <w:vAlign w:val="center"/>
          </w:tcPr>
          <w:p w14:paraId="43E540CC" w14:textId="34D34D31" w:rsidR="00667194" w:rsidRPr="00E056AE" w:rsidRDefault="0044459B" w:rsidP="003802A1">
            <w:pPr>
              <w:spacing w:line="240" w:lineRule="auto"/>
              <w:rPr>
                <w:rFonts w:cstheme="minorHAnsi"/>
                <w:b/>
                <w:bCs/>
                <w:szCs w:val="22"/>
              </w:rPr>
            </w:pPr>
            <w:r w:rsidRPr="00E056AE">
              <w:rPr>
                <w:rFonts w:cstheme="minorHAnsi"/>
                <w:b/>
                <w:bCs/>
                <w:szCs w:val="22"/>
              </w:rPr>
              <w:t>Data gathering</w:t>
            </w:r>
          </w:p>
        </w:tc>
      </w:tr>
      <w:tr w:rsidR="00667194" w:rsidRPr="00E056AE" w14:paraId="7866830B" w14:textId="77777777" w:rsidTr="0044459B">
        <w:trPr>
          <w:trHeight w:val="454"/>
        </w:trPr>
        <w:tc>
          <w:tcPr>
            <w:tcW w:w="2815" w:type="dxa"/>
            <w:vAlign w:val="center"/>
          </w:tcPr>
          <w:p w14:paraId="1D6DADDF" w14:textId="5E144F44" w:rsidR="00667194" w:rsidRPr="00E056AE" w:rsidRDefault="00667194" w:rsidP="003802A1">
            <w:pPr>
              <w:spacing w:line="240" w:lineRule="auto"/>
              <w:rPr>
                <w:rFonts w:cstheme="minorHAnsi"/>
                <w:szCs w:val="22"/>
              </w:rPr>
            </w:pPr>
            <w:r w:rsidRPr="00E056AE">
              <w:rPr>
                <w:rFonts w:cstheme="minorHAnsi"/>
                <w:szCs w:val="22"/>
              </w:rPr>
              <w:t>Approach</w:t>
            </w:r>
          </w:p>
        </w:tc>
        <w:tc>
          <w:tcPr>
            <w:tcW w:w="2425" w:type="dxa"/>
            <w:vAlign w:val="center"/>
          </w:tcPr>
          <w:p w14:paraId="13B40CC5" w14:textId="26C93D30" w:rsidR="00667194" w:rsidRPr="00E056AE" w:rsidRDefault="00667194" w:rsidP="00973EB9">
            <w:pPr>
              <w:spacing w:line="240" w:lineRule="auto"/>
              <w:jc w:val="center"/>
              <w:rPr>
                <w:rFonts w:cstheme="minorHAnsi"/>
                <w:bCs/>
                <w:szCs w:val="22"/>
              </w:rPr>
            </w:pPr>
            <w:r w:rsidRPr="00E056AE">
              <w:rPr>
                <w:rFonts w:cstheme="minorHAnsi"/>
                <w:bCs/>
                <w:szCs w:val="22"/>
              </w:rPr>
              <w:t>1</w:t>
            </w:r>
          </w:p>
        </w:tc>
        <w:tc>
          <w:tcPr>
            <w:tcW w:w="2552" w:type="dxa"/>
            <w:vAlign w:val="center"/>
          </w:tcPr>
          <w:p w14:paraId="7D5AA35A" w14:textId="77777777" w:rsidR="00667194" w:rsidRPr="00E056AE" w:rsidRDefault="00667194" w:rsidP="003802A1">
            <w:pPr>
              <w:spacing w:line="240" w:lineRule="auto"/>
              <w:rPr>
                <w:rFonts w:cstheme="minorHAnsi"/>
                <w:bCs/>
                <w:szCs w:val="22"/>
              </w:rPr>
            </w:pPr>
          </w:p>
        </w:tc>
        <w:tc>
          <w:tcPr>
            <w:tcW w:w="2409" w:type="dxa"/>
            <w:vAlign w:val="center"/>
          </w:tcPr>
          <w:p w14:paraId="19399FF8" w14:textId="77777777" w:rsidR="00667194" w:rsidRPr="00E056AE" w:rsidRDefault="00667194" w:rsidP="003802A1">
            <w:pPr>
              <w:spacing w:line="240" w:lineRule="auto"/>
              <w:rPr>
                <w:rFonts w:cstheme="minorHAnsi"/>
                <w:bCs/>
                <w:szCs w:val="22"/>
              </w:rPr>
            </w:pPr>
          </w:p>
        </w:tc>
      </w:tr>
      <w:tr w:rsidR="00667194" w:rsidRPr="00E056AE" w14:paraId="2EEF3CD4" w14:textId="77777777" w:rsidTr="0044459B">
        <w:trPr>
          <w:trHeight w:val="327"/>
        </w:trPr>
        <w:tc>
          <w:tcPr>
            <w:tcW w:w="2815" w:type="dxa"/>
            <w:vAlign w:val="center"/>
          </w:tcPr>
          <w:p w14:paraId="0FBE3F86" w14:textId="247BF434" w:rsidR="00667194" w:rsidRPr="00E056AE" w:rsidRDefault="00667194" w:rsidP="003802A1">
            <w:pPr>
              <w:spacing w:line="240" w:lineRule="auto"/>
              <w:rPr>
                <w:rFonts w:cstheme="minorHAnsi"/>
                <w:szCs w:val="22"/>
              </w:rPr>
            </w:pPr>
            <w:r w:rsidRPr="00E056AE">
              <w:rPr>
                <w:rFonts w:cstheme="minorHAnsi"/>
                <w:szCs w:val="22"/>
              </w:rPr>
              <w:t>Consent participant</w:t>
            </w:r>
          </w:p>
        </w:tc>
        <w:tc>
          <w:tcPr>
            <w:tcW w:w="2425" w:type="dxa"/>
            <w:vAlign w:val="center"/>
          </w:tcPr>
          <w:p w14:paraId="1097BB58" w14:textId="77777777" w:rsidR="00667194" w:rsidRPr="00E056AE" w:rsidRDefault="00667194" w:rsidP="003802A1">
            <w:pPr>
              <w:spacing w:line="240" w:lineRule="auto"/>
              <w:rPr>
                <w:rFonts w:cstheme="minorHAnsi"/>
                <w:bCs/>
                <w:szCs w:val="22"/>
              </w:rPr>
            </w:pPr>
          </w:p>
        </w:tc>
        <w:tc>
          <w:tcPr>
            <w:tcW w:w="2552" w:type="dxa"/>
            <w:vAlign w:val="center"/>
          </w:tcPr>
          <w:p w14:paraId="27FAD345" w14:textId="72F765E1" w:rsidR="00667194" w:rsidRPr="00E056AE" w:rsidRDefault="00667194" w:rsidP="00973EB9">
            <w:pPr>
              <w:spacing w:line="240" w:lineRule="auto"/>
              <w:jc w:val="center"/>
              <w:rPr>
                <w:rFonts w:cstheme="minorHAnsi"/>
                <w:bCs/>
                <w:szCs w:val="22"/>
              </w:rPr>
            </w:pPr>
            <w:r w:rsidRPr="00E056AE">
              <w:rPr>
                <w:rFonts w:cstheme="minorHAnsi"/>
                <w:bCs/>
                <w:szCs w:val="22"/>
              </w:rPr>
              <w:t>2</w:t>
            </w:r>
          </w:p>
        </w:tc>
        <w:tc>
          <w:tcPr>
            <w:tcW w:w="2409" w:type="dxa"/>
            <w:vAlign w:val="center"/>
          </w:tcPr>
          <w:p w14:paraId="5C87CFA9" w14:textId="6F301AC8" w:rsidR="00667194" w:rsidRPr="00E056AE" w:rsidRDefault="00667194" w:rsidP="00973EB9">
            <w:pPr>
              <w:spacing w:line="240" w:lineRule="auto"/>
              <w:jc w:val="center"/>
              <w:rPr>
                <w:rFonts w:cstheme="minorHAnsi"/>
                <w:bCs/>
                <w:szCs w:val="22"/>
              </w:rPr>
            </w:pPr>
          </w:p>
        </w:tc>
      </w:tr>
      <w:tr w:rsidR="00667194" w:rsidRPr="00E056AE" w14:paraId="469E0E98" w14:textId="77777777" w:rsidTr="0044459B">
        <w:trPr>
          <w:trHeight w:val="454"/>
        </w:trPr>
        <w:tc>
          <w:tcPr>
            <w:tcW w:w="2815" w:type="dxa"/>
            <w:vAlign w:val="center"/>
          </w:tcPr>
          <w:p w14:paraId="2AFD6085" w14:textId="0D42B011" w:rsidR="00667194" w:rsidRPr="00E056AE" w:rsidRDefault="00667194" w:rsidP="003802A1">
            <w:pPr>
              <w:spacing w:line="240" w:lineRule="auto"/>
              <w:rPr>
                <w:rFonts w:cstheme="minorHAnsi"/>
                <w:szCs w:val="22"/>
              </w:rPr>
            </w:pPr>
            <w:r w:rsidRPr="00E056AE">
              <w:rPr>
                <w:rFonts w:cstheme="minorHAnsi"/>
                <w:szCs w:val="22"/>
              </w:rPr>
              <w:t>Interview/Focus groups</w:t>
            </w:r>
          </w:p>
        </w:tc>
        <w:tc>
          <w:tcPr>
            <w:tcW w:w="2425" w:type="dxa"/>
            <w:vAlign w:val="center"/>
          </w:tcPr>
          <w:p w14:paraId="556C8E14" w14:textId="77777777" w:rsidR="00667194" w:rsidRPr="00E056AE" w:rsidRDefault="00667194" w:rsidP="003802A1">
            <w:pPr>
              <w:spacing w:line="240" w:lineRule="auto"/>
              <w:rPr>
                <w:rFonts w:cstheme="minorHAnsi"/>
                <w:bCs/>
                <w:szCs w:val="22"/>
              </w:rPr>
            </w:pPr>
          </w:p>
        </w:tc>
        <w:tc>
          <w:tcPr>
            <w:tcW w:w="2552" w:type="dxa"/>
            <w:vAlign w:val="center"/>
          </w:tcPr>
          <w:p w14:paraId="40938535" w14:textId="648FA23E" w:rsidR="00667194" w:rsidRPr="00E056AE" w:rsidRDefault="00667194" w:rsidP="00973EB9">
            <w:pPr>
              <w:spacing w:line="240" w:lineRule="auto"/>
              <w:jc w:val="center"/>
              <w:rPr>
                <w:rFonts w:cstheme="minorHAnsi"/>
                <w:bCs/>
                <w:szCs w:val="22"/>
              </w:rPr>
            </w:pPr>
          </w:p>
        </w:tc>
        <w:tc>
          <w:tcPr>
            <w:tcW w:w="2409" w:type="dxa"/>
            <w:vAlign w:val="center"/>
          </w:tcPr>
          <w:p w14:paraId="766A2A54" w14:textId="180C4E1E" w:rsidR="00667194" w:rsidRPr="00E056AE" w:rsidRDefault="00667194" w:rsidP="00973EB9">
            <w:pPr>
              <w:spacing w:line="240" w:lineRule="auto"/>
              <w:jc w:val="center"/>
              <w:rPr>
                <w:rFonts w:cstheme="minorHAnsi"/>
                <w:bCs/>
                <w:szCs w:val="22"/>
              </w:rPr>
            </w:pPr>
            <w:r w:rsidRPr="00E056AE">
              <w:rPr>
                <w:rFonts w:cstheme="minorHAnsi"/>
                <w:bCs/>
                <w:szCs w:val="22"/>
              </w:rPr>
              <w:t>3</w:t>
            </w:r>
          </w:p>
        </w:tc>
      </w:tr>
    </w:tbl>
    <w:p w14:paraId="5ED06340" w14:textId="77777777" w:rsidR="00475FDA" w:rsidRPr="00E056AE" w:rsidRDefault="00475FDA" w:rsidP="003802A1">
      <w:pPr>
        <w:spacing w:line="240" w:lineRule="auto"/>
        <w:rPr>
          <w:rFonts w:cstheme="minorHAnsi"/>
          <w:color w:val="0000FF"/>
          <w:szCs w:val="22"/>
        </w:rPr>
      </w:pPr>
    </w:p>
    <w:p w14:paraId="7A169885" w14:textId="77777777" w:rsidR="00475FDA" w:rsidRPr="00E056AE" w:rsidRDefault="00475FDA" w:rsidP="003802A1">
      <w:pPr>
        <w:spacing w:line="240" w:lineRule="auto"/>
        <w:rPr>
          <w:rFonts w:cstheme="minorHAnsi"/>
          <w:color w:val="0000FF"/>
          <w:szCs w:val="22"/>
        </w:rPr>
      </w:pPr>
    </w:p>
    <w:p w14:paraId="09E6141A" w14:textId="05F5F5BA" w:rsidR="00475FDA" w:rsidRPr="00E056AE" w:rsidRDefault="003B4870" w:rsidP="003802A1">
      <w:pPr>
        <w:spacing w:line="240" w:lineRule="auto"/>
        <w:rPr>
          <w:rFonts w:cstheme="minorHAnsi"/>
          <w:b/>
          <w:bCs/>
          <w:szCs w:val="22"/>
          <w:lang w:eastAsia="en-GB"/>
        </w:rPr>
      </w:pPr>
      <w:r w:rsidRPr="00E056AE">
        <w:rPr>
          <w:rFonts w:cstheme="minorHAnsi"/>
          <w:b/>
          <w:szCs w:val="22"/>
          <w:lang w:eastAsia="en-GB"/>
        </w:rPr>
        <w:t>13.3</w:t>
      </w:r>
      <w:r w:rsidR="00864F75" w:rsidRPr="00E056AE">
        <w:rPr>
          <w:rFonts w:cstheme="minorHAnsi"/>
          <w:szCs w:val="22"/>
          <w:lang w:eastAsia="en-GB"/>
        </w:rPr>
        <w:tab/>
      </w:r>
      <w:r w:rsidR="00973EB9" w:rsidRPr="00E056AE">
        <w:rPr>
          <w:rFonts w:cstheme="minorHAnsi"/>
          <w:b/>
          <w:bCs/>
          <w:szCs w:val="22"/>
          <w:lang w:eastAsia="en-GB"/>
        </w:rPr>
        <w:t xml:space="preserve">Appendix </w:t>
      </w:r>
      <w:r w:rsidRPr="00E056AE">
        <w:rPr>
          <w:rFonts w:cstheme="minorHAnsi"/>
          <w:b/>
          <w:bCs/>
          <w:szCs w:val="22"/>
          <w:lang w:eastAsia="en-GB"/>
        </w:rPr>
        <w:t>3</w:t>
      </w:r>
      <w:r w:rsidR="00475FDA" w:rsidRPr="00E056AE">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E056AE" w14:paraId="4CE62FEB" w14:textId="77777777" w:rsidTr="004B3BCA">
        <w:trPr>
          <w:trHeight w:val="821"/>
        </w:trPr>
        <w:tc>
          <w:tcPr>
            <w:tcW w:w="1515" w:type="dxa"/>
          </w:tcPr>
          <w:p w14:paraId="5A9DD2E1" w14:textId="77777777" w:rsidR="00475FDA" w:rsidRPr="00E056AE" w:rsidRDefault="00475FDA" w:rsidP="003802A1">
            <w:pPr>
              <w:spacing w:line="240" w:lineRule="auto"/>
              <w:rPr>
                <w:rFonts w:cstheme="minorHAnsi"/>
                <w:b/>
                <w:szCs w:val="22"/>
              </w:rPr>
            </w:pPr>
            <w:r w:rsidRPr="00E056AE">
              <w:rPr>
                <w:rFonts w:cstheme="minorHAnsi"/>
                <w:b/>
                <w:szCs w:val="22"/>
              </w:rPr>
              <w:t>Amendment No.</w:t>
            </w:r>
          </w:p>
        </w:tc>
        <w:tc>
          <w:tcPr>
            <w:tcW w:w="1515" w:type="dxa"/>
          </w:tcPr>
          <w:p w14:paraId="73AFECBC" w14:textId="09B6DE28" w:rsidR="00475FDA" w:rsidRPr="00E056AE" w:rsidRDefault="004B3BCA" w:rsidP="003802A1">
            <w:pPr>
              <w:spacing w:line="240" w:lineRule="auto"/>
              <w:rPr>
                <w:rFonts w:cstheme="minorHAnsi"/>
                <w:b/>
                <w:szCs w:val="22"/>
              </w:rPr>
            </w:pPr>
            <w:r w:rsidRPr="00E056AE">
              <w:rPr>
                <w:rFonts w:cstheme="minorHAnsi"/>
                <w:b/>
                <w:szCs w:val="22"/>
              </w:rPr>
              <w:t>Protocol version n</w:t>
            </w:r>
            <w:r w:rsidR="00475FDA" w:rsidRPr="00E056AE">
              <w:rPr>
                <w:rFonts w:cstheme="minorHAnsi"/>
                <w:b/>
                <w:szCs w:val="22"/>
              </w:rPr>
              <w:t>o.</w:t>
            </w:r>
          </w:p>
        </w:tc>
        <w:tc>
          <w:tcPr>
            <w:tcW w:w="1515" w:type="dxa"/>
          </w:tcPr>
          <w:p w14:paraId="3F19D0D2" w14:textId="77777777" w:rsidR="00475FDA" w:rsidRPr="00E056AE" w:rsidRDefault="00475FDA" w:rsidP="003802A1">
            <w:pPr>
              <w:spacing w:line="240" w:lineRule="auto"/>
              <w:rPr>
                <w:rFonts w:cstheme="minorHAnsi"/>
                <w:b/>
                <w:szCs w:val="22"/>
              </w:rPr>
            </w:pPr>
            <w:r w:rsidRPr="00E056AE">
              <w:rPr>
                <w:rFonts w:cstheme="minorHAnsi"/>
                <w:b/>
                <w:szCs w:val="22"/>
              </w:rPr>
              <w:t>Date issued</w:t>
            </w:r>
          </w:p>
        </w:tc>
        <w:tc>
          <w:tcPr>
            <w:tcW w:w="1516" w:type="dxa"/>
          </w:tcPr>
          <w:p w14:paraId="5C6CF11D" w14:textId="77777777" w:rsidR="00475FDA" w:rsidRPr="00E056AE" w:rsidRDefault="00475FDA" w:rsidP="003802A1">
            <w:pPr>
              <w:spacing w:line="240" w:lineRule="auto"/>
              <w:rPr>
                <w:rFonts w:cstheme="minorHAnsi"/>
                <w:b/>
                <w:szCs w:val="22"/>
              </w:rPr>
            </w:pPr>
            <w:r w:rsidRPr="00E056AE">
              <w:rPr>
                <w:rFonts w:cstheme="minorHAnsi"/>
                <w:b/>
                <w:szCs w:val="22"/>
              </w:rPr>
              <w:t>Author(s) of changes</w:t>
            </w:r>
          </w:p>
        </w:tc>
        <w:tc>
          <w:tcPr>
            <w:tcW w:w="4112" w:type="dxa"/>
          </w:tcPr>
          <w:p w14:paraId="5A6AC3CB" w14:textId="3B8AED7E" w:rsidR="00475FDA" w:rsidRPr="00E056AE" w:rsidRDefault="004B3BCA" w:rsidP="003802A1">
            <w:pPr>
              <w:spacing w:line="240" w:lineRule="auto"/>
              <w:rPr>
                <w:rFonts w:cstheme="minorHAnsi"/>
                <w:b/>
                <w:szCs w:val="22"/>
              </w:rPr>
            </w:pPr>
            <w:r w:rsidRPr="00E056AE">
              <w:rPr>
                <w:rFonts w:cstheme="minorHAnsi"/>
                <w:b/>
                <w:szCs w:val="22"/>
              </w:rPr>
              <w:t>Details of c</w:t>
            </w:r>
            <w:r w:rsidR="00475FDA" w:rsidRPr="00E056AE">
              <w:rPr>
                <w:rFonts w:cstheme="minorHAnsi"/>
                <w:b/>
                <w:szCs w:val="22"/>
              </w:rPr>
              <w:t>hanges made</w:t>
            </w:r>
          </w:p>
        </w:tc>
      </w:tr>
      <w:tr w:rsidR="00475FDA" w:rsidRPr="00E056AE" w14:paraId="6EEA2E86" w14:textId="77777777" w:rsidTr="004B3BCA">
        <w:trPr>
          <w:trHeight w:val="290"/>
        </w:trPr>
        <w:tc>
          <w:tcPr>
            <w:tcW w:w="1515" w:type="dxa"/>
          </w:tcPr>
          <w:p w14:paraId="35C916CD" w14:textId="79BBD05D" w:rsidR="00475FDA" w:rsidRPr="00E056AE" w:rsidRDefault="00B2026D" w:rsidP="003802A1">
            <w:pPr>
              <w:spacing w:line="240" w:lineRule="auto"/>
              <w:rPr>
                <w:rFonts w:cstheme="minorHAnsi"/>
                <w:szCs w:val="22"/>
              </w:rPr>
            </w:pPr>
            <w:r w:rsidRPr="00E056AE">
              <w:rPr>
                <w:rFonts w:cstheme="minorHAnsi"/>
                <w:szCs w:val="22"/>
              </w:rPr>
              <w:t>1</w:t>
            </w:r>
          </w:p>
        </w:tc>
        <w:tc>
          <w:tcPr>
            <w:tcW w:w="1515" w:type="dxa"/>
          </w:tcPr>
          <w:p w14:paraId="7E7C746F" w14:textId="177BF4A1" w:rsidR="00475FDA" w:rsidRPr="00E056AE" w:rsidRDefault="00B2026D" w:rsidP="003802A1">
            <w:pPr>
              <w:spacing w:line="240" w:lineRule="auto"/>
              <w:rPr>
                <w:rFonts w:cstheme="minorHAnsi"/>
                <w:szCs w:val="22"/>
              </w:rPr>
            </w:pPr>
            <w:r w:rsidRPr="00E056AE">
              <w:rPr>
                <w:rFonts w:cstheme="minorHAnsi"/>
                <w:szCs w:val="22"/>
              </w:rPr>
              <w:t>0.2</w:t>
            </w:r>
          </w:p>
        </w:tc>
        <w:tc>
          <w:tcPr>
            <w:tcW w:w="1515" w:type="dxa"/>
          </w:tcPr>
          <w:p w14:paraId="078BCED9" w14:textId="1FCDB0DA" w:rsidR="00475FDA" w:rsidRPr="00E056AE" w:rsidRDefault="00B2026D" w:rsidP="003802A1">
            <w:pPr>
              <w:spacing w:line="240" w:lineRule="auto"/>
              <w:rPr>
                <w:rFonts w:cstheme="minorHAnsi"/>
                <w:szCs w:val="22"/>
              </w:rPr>
            </w:pPr>
            <w:r w:rsidRPr="00E056AE">
              <w:rPr>
                <w:rFonts w:cstheme="minorHAnsi"/>
                <w:szCs w:val="22"/>
              </w:rPr>
              <w:t>8/3/19</w:t>
            </w:r>
          </w:p>
        </w:tc>
        <w:tc>
          <w:tcPr>
            <w:tcW w:w="1516" w:type="dxa"/>
          </w:tcPr>
          <w:p w14:paraId="198B0C83" w14:textId="7A83D6D9" w:rsidR="00475FDA" w:rsidRPr="00E056AE" w:rsidRDefault="00475FDA" w:rsidP="003802A1">
            <w:pPr>
              <w:spacing w:line="240" w:lineRule="auto"/>
              <w:rPr>
                <w:rFonts w:cstheme="minorHAnsi"/>
                <w:szCs w:val="22"/>
              </w:rPr>
            </w:pPr>
          </w:p>
        </w:tc>
        <w:tc>
          <w:tcPr>
            <w:tcW w:w="4112" w:type="dxa"/>
          </w:tcPr>
          <w:p w14:paraId="066BC17B" w14:textId="49845BEF" w:rsidR="00475FDA" w:rsidRPr="00E056AE" w:rsidRDefault="00B2026D" w:rsidP="003802A1">
            <w:pPr>
              <w:spacing w:line="240" w:lineRule="auto"/>
              <w:rPr>
                <w:rFonts w:cstheme="minorHAnsi"/>
                <w:szCs w:val="22"/>
              </w:rPr>
            </w:pPr>
            <w:r w:rsidRPr="00E056AE">
              <w:rPr>
                <w:rFonts w:cstheme="minorHAnsi"/>
                <w:szCs w:val="22"/>
              </w:rPr>
              <w:t>Changes were to address comments proposed by sponsor (SGUL), and to add Imperial College Healthcare Trust as a participatory organisation.</w:t>
            </w:r>
          </w:p>
        </w:tc>
      </w:tr>
      <w:tr w:rsidR="00B2026D" w:rsidRPr="00E056AE" w14:paraId="42242A5F" w14:textId="77777777" w:rsidTr="004B3BCA">
        <w:trPr>
          <w:trHeight w:val="290"/>
        </w:trPr>
        <w:tc>
          <w:tcPr>
            <w:tcW w:w="1515" w:type="dxa"/>
          </w:tcPr>
          <w:p w14:paraId="6C516FFF" w14:textId="007A5BA7" w:rsidR="00B2026D" w:rsidRPr="00E056AE" w:rsidRDefault="00B2026D" w:rsidP="003802A1">
            <w:pPr>
              <w:spacing w:line="240" w:lineRule="auto"/>
              <w:rPr>
                <w:rFonts w:cstheme="minorHAnsi"/>
                <w:szCs w:val="22"/>
              </w:rPr>
            </w:pPr>
            <w:r w:rsidRPr="00E056AE">
              <w:rPr>
                <w:rFonts w:cstheme="minorHAnsi"/>
                <w:szCs w:val="22"/>
              </w:rPr>
              <w:t>2</w:t>
            </w:r>
          </w:p>
        </w:tc>
        <w:tc>
          <w:tcPr>
            <w:tcW w:w="1515" w:type="dxa"/>
          </w:tcPr>
          <w:p w14:paraId="0B4273BD" w14:textId="08E319E6" w:rsidR="00B2026D" w:rsidRPr="00E056AE" w:rsidRDefault="00B2026D" w:rsidP="003802A1">
            <w:pPr>
              <w:spacing w:line="240" w:lineRule="auto"/>
              <w:rPr>
                <w:rFonts w:cstheme="minorHAnsi"/>
                <w:szCs w:val="22"/>
              </w:rPr>
            </w:pPr>
            <w:r w:rsidRPr="00E056AE">
              <w:rPr>
                <w:rFonts w:cstheme="minorHAnsi"/>
                <w:szCs w:val="22"/>
              </w:rPr>
              <w:t>0.3</w:t>
            </w:r>
          </w:p>
        </w:tc>
        <w:tc>
          <w:tcPr>
            <w:tcW w:w="1515" w:type="dxa"/>
          </w:tcPr>
          <w:p w14:paraId="0F5ED4EF" w14:textId="42A49B83" w:rsidR="00B2026D" w:rsidRPr="00E056AE" w:rsidRDefault="00B2026D" w:rsidP="003802A1">
            <w:pPr>
              <w:spacing w:line="240" w:lineRule="auto"/>
              <w:rPr>
                <w:rFonts w:cstheme="minorHAnsi"/>
                <w:szCs w:val="22"/>
              </w:rPr>
            </w:pPr>
            <w:r w:rsidRPr="00E056AE">
              <w:rPr>
                <w:rFonts w:cstheme="minorHAnsi"/>
                <w:szCs w:val="22"/>
              </w:rPr>
              <w:t>2/4/19</w:t>
            </w:r>
          </w:p>
        </w:tc>
        <w:tc>
          <w:tcPr>
            <w:tcW w:w="1516" w:type="dxa"/>
          </w:tcPr>
          <w:p w14:paraId="441B7BF0" w14:textId="31B49039" w:rsidR="00B2026D" w:rsidRPr="00E056AE" w:rsidRDefault="00B2026D" w:rsidP="003802A1">
            <w:pPr>
              <w:spacing w:line="240" w:lineRule="auto"/>
              <w:rPr>
                <w:rFonts w:cstheme="minorHAnsi"/>
                <w:szCs w:val="22"/>
              </w:rPr>
            </w:pPr>
          </w:p>
        </w:tc>
        <w:tc>
          <w:tcPr>
            <w:tcW w:w="4112" w:type="dxa"/>
          </w:tcPr>
          <w:p w14:paraId="4031126D" w14:textId="2C4591C2" w:rsidR="00B2026D" w:rsidRPr="00E056AE" w:rsidRDefault="00B2026D" w:rsidP="003802A1">
            <w:pPr>
              <w:spacing w:line="240" w:lineRule="auto"/>
              <w:rPr>
                <w:rFonts w:cstheme="minorHAnsi"/>
                <w:szCs w:val="22"/>
              </w:rPr>
            </w:pPr>
            <w:r w:rsidRPr="00E056AE">
              <w:rPr>
                <w:rFonts w:cstheme="minorHAnsi"/>
                <w:szCs w:val="22"/>
              </w:rPr>
              <w:t>Changes were to ensure accuracy of language in terms of how we will interact with and protect participants, and our methodological approaches.</w:t>
            </w:r>
          </w:p>
          <w:p w14:paraId="03F59041" w14:textId="4C978889" w:rsidR="001722A1" w:rsidRPr="00E056AE" w:rsidRDefault="001722A1" w:rsidP="003802A1">
            <w:pPr>
              <w:spacing w:line="240" w:lineRule="auto"/>
              <w:rPr>
                <w:rFonts w:cstheme="minorHAnsi"/>
                <w:szCs w:val="22"/>
              </w:rPr>
            </w:pPr>
            <w:r w:rsidRPr="00E056AE">
              <w:rPr>
                <w:rFonts w:cstheme="minorHAnsi"/>
                <w:szCs w:val="22"/>
              </w:rPr>
              <w:t>Slight revision of study titles</w:t>
            </w:r>
          </w:p>
          <w:p w14:paraId="6C5DC543" w14:textId="4DEA1363" w:rsidR="001722A1" w:rsidRPr="00E056AE" w:rsidRDefault="001722A1" w:rsidP="003802A1">
            <w:pPr>
              <w:spacing w:line="240" w:lineRule="auto"/>
              <w:rPr>
                <w:rFonts w:cstheme="minorHAnsi"/>
                <w:szCs w:val="22"/>
              </w:rPr>
            </w:pPr>
            <w:r w:rsidRPr="00E056AE">
              <w:rPr>
                <w:rFonts w:cstheme="minorHAnsi"/>
                <w:szCs w:val="22"/>
              </w:rPr>
              <w:t>Revision of the timeline, to reframe around recruitment and data collection being completed within the 12 months cited, not recruitment, data collection and dissemination</w:t>
            </w:r>
          </w:p>
          <w:p w14:paraId="27F69A07" w14:textId="2081ED3D" w:rsidR="001722A1" w:rsidRPr="00E056AE" w:rsidRDefault="001722A1" w:rsidP="003802A1">
            <w:pPr>
              <w:spacing w:line="240" w:lineRule="auto"/>
              <w:rPr>
                <w:rFonts w:cstheme="minorHAnsi"/>
                <w:szCs w:val="22"/>
              </w:rPr>
            </w:pPr>
            <w:r w:rsidRPr="00E056AE">
              <w:rPr>
                <w:rFonts w:cstheme="minorHAnsi"/>
                <w:szCs w:val="22"/>
              </w:rPr>
              <w:t xml:space="preserve">Revision of previously suggested quotas on the absolute number of LTBI </w:t>
            </w:r>
            <w:r w:rsidRPr="00E056AE">
              <w:rPr>
                <w:rFonts w:cstheme="minorHAnsi"/>
                <w:szCs w:val="22"/>
              </w:rPr>
              <w:lastRenderedPageBreak/>
              <w:t>or TB specific patient participants recruited, to just an absolute suggestion for overall recruitment.</w:t>
            </w:r>
          </w:p>
          <w:p w14:paraId="6D6E78FB" w14:textId="5E30128E" w:rsidR="00B2026D" w:rsidRPr="00E056AE" w:rsidRDefault="00B2026D" w:rsidP="003802A1">
            <w:pPr>
              <w:spacing w:line="240" w:lineRule="auto"/>
              <w:rPr>
                <w:rFonts w:cstheme="minorHAnsi"/>
                <w:szCs w:val="22"/>
              </w:rPr>
            </w:pPr>
          </w:p>
        </w:tc>
      </w:tr>
      <w:tr w:rsidR="00C52FEC" w:rsidRPr="00E056AE" w14:paraId="035A7056" w14:textId="77777777" w:rsidTr="004B3BCA">
        <w:trPr>
          <w:trHeight w:val="290"/>
        </w:trPr>
        <w:tc>
          <w:tcPr>
            <w:tcW w:w="1515" w:type="dxa"/>
          </w:tcPr>
          <w:p w14:paraId="3F265C09" w14:textId="3F9457A2" w:rsidR="00C52FEC" w:rsidRPr="00E056AE" w:rsidRDefault="00C52FEC" w:rsidP="003802A1">
            <w:pPr>
              <w:spacing w:line="240" w:lineRule="auto"/>
              <w:rPr>
                <w:rFonts w:cstheme="minorHAnsi"/>
                <w:szCs w:val="22"/>
              </w:rPr>
            </w:pPr>
            <w:r w:rsidRPr="00E056AE">
              <w:rPr>
                <w:rFonts w:cstheme="minorHAnsi"/>
                <w:szCs w:val="22"/>
              </w:rPr>
              <w:lastRenderedPageBreak/>
              <w:t>3</w:t>
            </w:r>
          </w:p>
        </w:tc>
        <w:tc>
          <w:tcPr>
            <w:tcW w:w="1515" w:type="dxa"/>
          </w:tcPr>
          <w:p w14:paraId="3DA59D3C" w14:textId="1D86CEF0" w:rsidR="00C52FEC" w:rsidRPr="00E056AE" w:rsidRDefault="00C52FEC" w:rsidP="003802A1">
            <w:pPr>
              <w:spacing w:line="240" w:lineRule="auto"/>
              <w:rPr>
                <w:rFonts w:cstheme="minorHAnsi"/>
                <w:szCs w:val="22"/>
              </w:rPr>
            </w:pPr>
            <w:r w:rsidRPr="00E056AE">
              <w:rPr>
                <w:rFonts w:cstheme="minorHAnsi"/>
                <w:szCs w:val="22"/>
              </w:rPr>
              <w:t>0.4</w:t>
            </w:r>
          </w:p>
        </w:tc>
        <w:tc>
          <w:tcPr>
            <w:tcW w:w="1515" w:type="dxa"/>
          </w:tcPr>
          <w:p w14:paraId="158DEA14" w14:textId="2530C00B" w:rsidR="00C52FEC" w:rsidRPr="00E056AE" w:rsidRDefault="00806F99" w:rsidP="003802A1">
            <w:pPr>
              <w:spacing w:line="240" w:lineRule="auto"/>
              <w:rPr>
                <w:rFonts w:cstheme="minorHAnsi"/>
                <w:szCs w:val="22"/>
              </w:rPr>
            </w:pPr>
            <w:r w:rsidRPr="00E056AE">
              <w:rPr>
                <w:rFonts w:cstheme="minorHAnsi"/>
                <w:szCs w:val="22"/>
              </w:rPr>
              <w:t>29/6/18</w:t>
            </w:r>
          </w:p>
        </w:tc>
        <w:tc>
          <w:tcPr>
            <w:tcW w:w="1516" w:type="dxa"/>
          </w:tcPr>
          <w:p w14:paraId="0059CE99" w14:textId="770DBBBC" w:rsidR="00C52FEC" w:rsidRPr="00E056AE" w:rsidRDefault="00C52FEC" w:rsidP="003802A1">
            <w:pPr>
              <w:spacing w:line="240" w:lineRule="auto"/>
              <w:rPr>
                <w:rFonts w:cstheme="minorHAnsi"/>
                <w:szCs w:val="22"/>
              </w:rPr>
            </w:pPr>
          </w:p>
        </w:tc>
        <w:tc>
          <w:tcPr>
            <w:tcW w:w="4112" w:type="dxa"/>
          </w:tcPr>
          <w:p w14:paraId="51179DD7" w14:textId="77777777" w:rsidR="00C52FEC" w:rsidRPr="00E056AE" w:rsidRDefault="00C52FEC" w:rsidP="003802A1">
            <w:pPr>
              <w:spacing w:line="240" w:lineRule="auto"/>
              <w:rPr>
                <w:rFonts w:cstheme="minorHAnsi"/>
                <w:szCs w:val="22"/>
              </w:rPr>
            </w:pPr>
            <w:r w:rsidRPr="00E056AE">
              <w:rPr>
                <w:rFonts w:cstheme="minorHAnsi"/>
                <w:szCs w:val="22"/>
              </w:rPr>
              <w:t>Amendment to study timeframe recorded in the study protocol graphic on page viii and within the study summary table</w:t>
            </w:r>
          </w:p>
          <w:p w14:paraId="10576215" w14:textId="70543B18" w:rsidR="00806F99" w:rsidRPr="00E056AE" w:rsidRDefault="00806F99" w:rsidP="003802A1">
            <w:pPr>
              <w:spacing w:line="240" w:lineRule="auto"/>
              <w:rPr>
                <w:rFonts w:cstheme="minorHAnsi"/>
                <w:szCs w:val="22"/>
              </w:rPr>
            </w:pPr>
            <w:r w:rsidRPr="00E056AE">
              <w:rPr>
                <w:rFonts w:cstheme="minorHAnsi"/>
                <w:szCs w:val="22"/>
              </w:rPr>
              <w:t>Amendment to inclusion criteria, raising age from 16 to 18.</w:t>
            </w:r>
          </w:p>
        </w:tc>
      </w:tr>
      <w:tr w:rsidR="00786624" w:rsidRPr="00E056AE" w14:paraId="44C9FC03" w14:textId="77777777" w:rsidTr="004B3BCA">
        <w:trPr>
          <w:trHeight w:val="290"/>
        </w:trPr>
        <w:tc>
          <w:tcPr>
            <w:tcW w:w="1515" w:type="dxa"/>
          </w:tcPr>
          <w:p w14:paraId="1FAB550A" w14:textId="13D5DFD3" w:rsidR="00786624" w:rsidRPr="00E056AE" w:rsidRDefault="00786624" w:rsidP="003802A1">
            <w:pPr>
              <w:spacing w:line="240" w:lineRule="auto"/>
              <w:rPr>
                <w:rFonts w:cstheme="minorHAnsi"/>
                <w:szCs w:val="22"/>
              </w:rPr>
            </w:pPr>
            <w:r w:rsidRPr="00E056AE">
              <w:rPr>
                <w:rFonts w:cstheme="minorHAnsi"/>
                <w:szCs w:val="22"/>
              </w:rPr>
              <w:t>4</w:t>
            </w:r>
          </w:p>
        </w:tc>
        <w:tc>
          <w:tcPr>
            <w:tcW w:w="1515" w:type="dxa"/>
          </w:tcPr>
          <w:p w14:paraId="0AEA2533" w14:textId="42B1C3F0" w:rsidR="00786624" w:rsidRPr="00E056AE" w:rsidRDefault="00786624" w:rsidP="003802A1">
            <w:pPr>
              <w:spacing w:line="240" w:lineRule="auto"/>
              <w:rPr>
                <w:rFonts w:cstheme="minorHAnsi"/>
                <w:szCs w:val="22"/>
              </w:rPr>
            </w:pPr>
            <w:r w:rsidRPr="00E056AE">
              <w:rPr>
                <w:rFonts w:cstheme="minorHAnsi"/>
                <w:szCs w:val="22"/>
              </w:rPr>
              <w:t>0.5</w:t>
            </w:r>
          </w:p>
        </w:tc>
        <w:tc>
          <w:tcPr>
            <w:tcW w:w="1515" w:type="dxa"/>
          </w:tcPr>
          <w:p w14:paraId="53A1C15C" w14:textId="49125769" w:rsidR="00786624" w:rsidRPr="00E056AE" w:rsidRDefault="00786624" w:rsidP="003802A1">
            <w:pPr>
              <w:spacing w:line="240" w:lineRule="auto"/>
              <w:rPr>
                <w:rFonts w:cstheme="minorHAnsi"/>
                <w:szCs w:val="22"/>
              </w:rPr>
            </w:pPr>
            <w:r w:rsidRPr="00E056AE">
              <w:rPr>
                <w:rFonts w:cstheme="minorHAnsi"/>
                <w:szCs w:val="22"/>
              </w:rPr>
              <w:t>14/10/19</w:t>
            </w:r>
          </w:p>
        </w:tc>
        <w:tc>
          <w:tcPr>
            <w:tcW w:w="1516" w:type="dxa"/>
          </w:tcPr>
          <w:p w14:paraId="7F83CA39" w14:textId="64E8241D" w:rsidR="00786624" w:rsidRPr="00E056AE" w:rsidRDefault="00786624" w:rsidP="003802A1">
            <w:pPr>
              <w:spacing w:line="240" w:lineRule="auto"/>
              <w:rPr>
                <w:rFonts w:cstheme="minorHAnsi"/>
                <w:szCs w:val="22"/>
              </w:rPr>
            </w:pPr>
          </w:p>
        </w:tc>
        <w:tc>
          <w:tcPr>
            <w:tcW w:w="4112" w:type="dxa"/>
          </w:tcPr>
          <w:p w14:paraId="219AD333" w14:textId="012A5B08" w:rsidR="00786624" w:rsidRPr="00E056AE" w:rsidRDefault="00786624" w:rsidP="003802A1">
            <w:pPr>
              <w:spacing w:line="240" w:lineRule="auto"/>
              <w:rPr>
                <w:rFonts w:cstheme="minorHAnsi"/>
                <w:szCs w:val="22"/>
              </w:rPr>
            </w:pPr>
            <w:r w:rsidRPr="00E056AE">
              <w:rPr>
                <w:rFonts w:cstheme="minorHAnsi"/>
                <w:szCs w:val="22"/>
              </w:rPr>
              <w:t>Amendment to study personnel.</w:t>
            </w:r>
          </w:p>
          <w:p w14:paraId="7DF1EACF" w14:textId="6D939C64" w:rsidR="00786624" w:rsidRPr="00E056AE" w:rsidRDefault="00786624" w:rsidP="00786624">
            <w:pPr>
              <w:spacing w:line="240" w:lineRule="auto"/>
              <w:rPr>
                <w:rFonts w:cstheme="minorHAnsi"/>
                <w:szCs w:val="22"/>
              </w:rPr>
            </w:pPr>
            <w:r w:rsidRPr="00E056AE">
              <w:rPr>
                <w:rFonts w:cstheme="minorHAnsi"/>
                <w:szCs w:val="22"/>
              </w:rPr>
              <w:t xml:space="preserve">Change of Chief Investigator from Dr Laura Nellums to Professor Jon Friedland.  </w:t>
            </w:r>
          </w:p>
        </w:tc>
      </w:tr>
      <w:tr w:rsidR="00A22F63" w:rsidRPr="00E056AE" w14:paraId="1E9CBE27" w14:textId="77777777" w:rsidTr="004B3BCA">
        <w:trPr>
          <w:trHeight w:val="290"/>
        </w:trPr>
        <w:tc>
          <w:tcPr>
            <w:tcW w:w="1515" w:type="dxa"/>
          </w:tcPr>
          <w:p w14:paraId="2A144417" w14:textId="7E379862" w:rsidR="00A22F63" w:rsidRPr="00E056AE" w:rsidRDefault="00A22F63" w:rsidP="003802A1">
            <w:pPr>
              <w:spacing w:line="240" w:lineRule="auto"/>
              <w:rPr>
                <w:rFonts w:cstheme="minorHAnsi"/>
                <w:szCs w:val="22"/>
              </w:rPr>
            </w:pPr>
            <w:r w:rsidRPr="00E056AE">
              <w:rPr>
                <w:rFonts w:cstheme="minorHAnsi"/>
                <w:szCs w:val="22"/>
              </w:rPr>
              <w:t>5</w:t>
            </w:r>
          </w:p>
        </w:tc>
        <w:tc>
          <w:tcPr>
            <w:tcW w:w="1515" w:type="dxa"/>
          </w:tcPr>
          <w:p w14:paraId="6685001E" w14:textId="26DF2E13" w:rsidR="00A22F63" w:rsidRPr="00E056AE" w:rsidRDefault="00A22F63" w:rsidP="003802A1">
            <w:pPr>
              <w:spacing w:line="240" w:lineRule="auto"/>
              <w:rPr>
                <w:rFonts w:cstheme="minorHAnsi"/>
                <w:szCs w:val="22"/>
              </w:rPr>
            </w:pPr>
            <w:r w:rsidRPr="00E056AE">
              <w:rPr>
                <w:rFonts w:cstheme="minorHAnsi"/>
                <w:szCs w:val="22"/>
              </w:rPr>
              <w:t>0.6</w:t>
            </w:r>
          </w:p>
        </w:tc>
        <w:tc>
          <w:tcPr>
            <w:tcW w:w="1515" w:type="dxa"/>
          </w:tcPr>
          <w:p w14:paraId="17626FF8" w14:textId="7B1D4FA4" w:rsidR="00A22F63" w:rsidRPr="00E056AE" w:rsidRDefault="00A22F63" w:rsidP="003802A1">
            <w:pPr>
              <w:spacing w:line="240" w:lineRule="auto"/>
              <w:rPr>
                <w:rFonts w:cstheme="minorHAnsi"/>
                <w:szCs w:val="22"/>
              </w:rPr>
            </w:pPr>
            <w:r w:rsidRPr="00E056AE">
              <w:rPr>
                <w:rFonts w:cstheme="minorHAnsi"/>
                <w:szCs w:val="22"/>
              </w:rPr>
              <w:t>17/08/20</w:t>
            </w:r>
          </w:p>
        </w:tc>
        <w:tc>
          <w:tcPr>
            <w:tcW w:w="1516" w:type="dxa"/>
          </w:tcPr>
          <w:p w14:paraId="366E343E" w14:textId="38BE6073" w:rsidR="00A22F63" w:rsidRPr="00E056AE" w:rsidRDefault="00A22F63" w:rsidP="003802A1">
            <w:pPr>
              <w:spacing w:line="240" w:lineRule="auto"/>
              <w:rPr>
                <w:rFonts w:cstheme="minorHAnsi"/>
                <w:szCs w:val="22"/>
              </w:rPr>
            </w:pPr>
          </w:p>
        </w:tc>
        <w:tc>
          <w:tcPr>
            <w:tcW w:w="4112" w:type="dxa"/>
          </w:tcPr>
          <w:p w14:paraId="61402D0A" w14:textId="77777777" w:rsidR="00A22F63" w:rsidRPr="00E056AE" w:rsidRDefault="00A22F63" w:rsidP="003802A1">
            <w:pPr>
              <w:spacing w:line="240" w:lineRule="auto"/>
              <w:rPr>
                <w:rFonts w:cstheme="minorHAnsi"/>
                <w:szCs w:val="22"/>
              </w:rPr>
            </w:pPr>
            <w:r w:rsidRPr="00E056AE">
              <w:rPr>
                <w:rFonts w:cstheme="minorHAnsi"/>
                <w:szCs w:val="22"/>
              </w:rPr>
              <w:t>Amendment to consent and processes.</w:t>
            </w:r>
          </w:p>
          <w:p w14:paraId="7D91079C" w14:textId="2C1E72F4" w:rsidR="00A22F63" w:rsidRPr="00E056AE" w:rsidRDefault="00A22F63" w:rsidP="003802A1">
            <w:pPr>
              <w:spacing w:line="240" w:lineRule="auto"/>
              <w:rPr>
                <w:rFonts w:cstheme="minorHAnsi"/>
                <w:szCs w:val="22"/>
              </w:rPr>
            </w:pPr>
            <w:r w:rsidRPr="00E056AE">
              <w:rPr>
                <w:rFonts w:cstheme="minorHAnsi"/>
                <w:szCs w:val="22"/>
              </w:rPr>
              <w:t xml:space="preserve">Use of phone interviews </w:t>
            </w:r>
            <w:r w:rsidR="00636129" w:rsidRPr="00E056AE">
              <w:rPr>
                <w:rFonts w:cstheme="minorHAnsi"/>
                <w:szCs w:val="22"/>
              </w:rPr>
              <w:t xml:space="preserve">and </w:t>
            </w:r>
            <w:r w:rsidRPr="00E056AE">
              <w:rPr>
                <w:rFonts w:cstheme="minorHAnsi"/>
                <w:szCs w:val="22"/>
              </w:rPr>
              <w:t>audio-recorded consent with patients due to Covid-19 impact on ability to conduct in-person interviews.</w:t>
            </w:r>
          </w:p>
          <w:p w14:paraId="7DBECA42" w14:textId="189736A8" w:rsidR="00491C8A" w:rsidRPr="00E056AE" w:rsidRDefault="00491C8A" w:rsidP="003802A1">
            <w:pPr>
              <w:spacing w:line="240" w:lineRule="auto"/>
              <w:rPr>
                <w:rFonts w:cstheme="minorHAnsi"/>
                <w:szCs w:val="22"/>
              </w:rPr>
            </w:pPr>
            <w:r w:rsidRPr="00E056AE">
              <w:rPr>
                <w:rFonts w:cstheme="minorHAnsi"/>
                <w:szCs w:val="22"/>
              </w:rPr>
              <w:t>Migrant patient PIS to be updated to 0.5 to reflect changes.</w:t>
            </w:r>
          </w:p>
          <w:p w14:paraId="3CD6FC60" w14:textId="2603223E" w:rsidR="00C23418" w:rsidRPr="00E056AE" w:rsidRDefault="00C23418" w:rsidP="003802A1">
            <w:pPr>
              <w:spacing w:line="240" w:lineRule="auto"/>
              <w:rPr>
                <w:rFonts w:cstheme="minorHAnsi"/>
                <w:szCs w:val="22"/>
              </w:rPr>
            </w:pPr>
            <w:r w:rsidRPr="00ED7841">
              <w:rPr>
                <w:rFonts w:cstheme="minorHAnsi"/>
                <w:szCs w:val="22"/>
              </w:rPr>
              <w:t>*highlighted yellow in current document</w:t>
            </w:r>
          </w:p>
        </w:tc>
      </w:tr>
    </w:tbl>
    <w:p w14:paraId="2907B647" w14:textId="77777777" w:rsidR="00475FDA" w:rsidRPr="00ED7841" w:rsidRDefault="00475FDA" w:rsidP="003802A1">
      <w:pPr>
        <w:spacing w:line="240" w:lineRule="auto"/>
        <w:rPr>
          <w:rFonts w:cstheme="minorHAnsi"/>
          <w:szCs w:val="22"/>
        </w:rPr>
      </w:pPr>
    </w:p>
    <w:p w14:paraId="27E89557" w14:textId="77777777" w:rsidR="00475FDA" w:rsidRPr="00E056AE" w:rsidRDefault="00475FDA" w:rsidP="003802A1">
      <w:pPr>
        <w:spacing w:line="240" w:lineRule="auto"/>
        <w:rPr>
          <w:rFonts w:cstheme="minorHAnsi"/>
          <w:szCs w:val="22"/>
        </w:rPr>
      </w:pPr>
      <w:r w:rsidRPr="00E056AE">
        <w:rPr>
          <w:rFonts w:cstheme="minorHAnsi"/>
          <w:szCs w:val="22"/>
        </w:rPr>
        <w:t>List details of all protocol amendments here whenever a new version of the protocol is produced.</w:t>
      </w:r>
    </w:p>
    <w:p w14:paraId="20B5F264" w14:textId="5D561D17" w:rsidR="00475FDA" w:rsidRPr="0044459B" w:rsidRDefault="00475FDA" w:rsidP="003802A1">
      <w:pPr>
        <w:spacing w:line="240" w:lineRule="auto"/>
        <w:rPr>
          <w:rFonts w:cstheme="minorHAnsi"/>
          <w:szCs w:val="22"/>
        </w:rPr>
      </w:pPr>
      <w:r w:rsidRPr="00E056AE">
        <w:rPr>
          <w:rFonts w:cstheme="minorHAnsi"/>
          <w:szCs w:val="22"/>
        </w:rPr>
        <w:t>Protocol amendments must be submitted to the Sponsor for approval prior to submission to the REC</w:t>
      </w:r>
      <w:r w:rsidR="002D2D7D" w:rsidRPr="00E056AE">
        <w:rPr>
          <w:rFonts w:cstheme="minorHAnsi"/>
          <w:szCs w:val="22"/>
        </w:rPr>
        <w:t>.</w:t>
      </w:r>
    </w:p>
    <w:p w14:paraId="7F209A40" w14:textId="77777777" w:rsidR="00475FDA" w:rsidRPr="00B64FFF" w:rsidRDefault="00475FDA" w:rsidP="003802A1">
      <w:pPr>
        <w:spacing w:line="240" w:lineRule="auto"/>
        <w:rPr>
          <w:rFonts w:cstheme="minorHAnsi"/>
          <w:color w:val="FF0000"/>
          <w:szCs w:val="22"/>
        </w:rPr>
      </w:pPr>
    </w:p>
    <w:p w14:paraId="20CA84BC" w14:textId="77777777" w:rsidR="00475FDA" w:rsidRPr="00B64FFF" w:rsidRDefault="00475FDA" w:rsidP="003802A1">
      <w:pPr>
        <w:spacing w:line="240" w:lineRule="auto"/>
        <w:rPr>
          <w:rFonts w:cstheme="minorHAnsi"/>
          <w:color w:val="FF0000"/>
          <w:szCs w:val="22"/>
        </w:rPr>
      </w:pPr>
    </w:p>
    <w:p w14:paraId="46327231" w14:textId="1AA0400C" w:rsidR="00C84257" w:rsidRPr="00B64FFF" w:rsidRDefault="00C84257" w:rsidP="003802A1">
      <w:pPr>
        <w:spacing w:line="240" w:lineRule="auto"/>
        <w:rPr>
          <w:rFonts w:cstheme="minorHAnsi"/>
          <w:szCs w:val="22"/>
        </w:rPr>
      </w:pPr>
    </w:p>
    <w:sectPr w:rsidR="00C84257" w:rsidRPr="00B64FFF" w:rsidSect="009F4727">
      <w:footerReference w:type="default" r:id="rId13"/>
      <w:headerReference w:type="first" r:id="rId14"/>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B477" w14:textId="77777777" w:rsidR="001A0EC9" w:rsidRDefault="001A0EC9" w:rsidP="00234F6D">
      <w:r>
        <w:separator/>
      </w:r>
    </w:p>
  </w:endnote>
  <w:endnote w:type="continuationSeparator" w:id="0">
    <w:p w14:paraId="367A6501" w14:textId="77777777" w:rsidR="001A0EC9" w:rsidRDefault="001A0EC9"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322233"/>
      <w:docPartObj>
        <w:docPartGallery w:val="Page Numbers (Bottom of Page)"/>
        <w:docPartUnique/>
      </w:docPartObj>
    </w:sdtPr>
    <w:sdtEndPr>
      <w:rPr>
        <w:noProof/>
      </w:rPr>
    </w:sdtEndPr>
    <w:sdtContent>
      <w:p w14:paraId="7888A21E" w14:textId="673E8D9C" w:rsidR="006D53CB" w:rsidRDefault="006D53C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0437931" w14:textId="007355AB" w:rsidR="006D53CB" w:rsidRDefault="006D53CB">
    <w:pPr>
      <w:pStyle w:val="Footer"/>
    </w:pPr>
    <w:r>
      <w:t>Analysing Experiences of Tuberculosis Care – Protocol – v0.</w:t>
    </w:r>
    <w:r w:rsidR="00636129">
      <w:t>6</w:t>
    </w:r>
    <w:r>
      <w:t xml:space="preserve"> (19</w:t>
    </w:r>
    <w:r w:rsidR="00636129">
      <w:t>.08.20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77777777" w:rsidR="006D53CB" w:rsidRDefault="006D53CB" w:rsidP="0058015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DE01E20" w14:textId="69F05E35" w:rsidR="006D53CB" w:rsidRDefault="006D53CB" w:rsidP="00125CCC">
        <w:pPr>
          <w:pStyle w:val="Footer"/>
        </w:pPr>
        <w:r>
          <w:t xml:space="preserve">Final Version 1.1 March 2016- Qualitative Protocol Tool </w:t>
        </w:r>
      </w:p>
      <w:p w14:paraId="12E6A340" w14:textId="3236C588" w:rsidR="006D53CB" w:rsidRDefault="001A0EC9">
        <w:pPr>
          <w:pStyle w:val="Footer"/>
          <w:jc w:val="center"/>
        </w:pPr>
      </w:p>
    </w:sdtContent>
  </w:sdt>
  <w:p w14:paraId="6F77A712" w14:textId="4DD22BC9" w:rsidR="006D53CB" w:rsidRDefault="006D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7101"/>
      <w:docPartObj>
        <w:docPartGallery w:val="Page Numbers (Bottom of Page)"/>
        <w:docPartUnique/>
      </w:docPartObj>
    </w:sdtPr>
    <w:sdtEndPr>
      <w:rPr>
        <w:noProof/>
      </w:rPr>
    </w:sdtEndPr>
    <w:sdtContent>
      <w:p w14:paraId="4EBBDBCA" w14:textId="1CAA45C3" w:rsidR="006D53CB" w:rsidRDefault="006D53CB" w:rsidP="0058015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32A8A79" w14:textId="77777777" w:rsidR="006D53CB" w:rsidRDefault="006D53CB" w:rsidP="00125CCC">
    <w:pPr>
      <w:pStyle w:val="Footer"/>
    </w:pPr>
    <w:r>
      <w:t>Final Version 1.1 March 2016- Template &amp; Guidance</w:t>
    </w:r>
  </w:p>
  <w:p w14:paraId="1FAB965D" w14:textId="77777777" w:rsidR="006D53CB" w:rsidRDefault="006D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80F6" w14:textId="77777777" w:rsidR="001A0EC9" w:rsidRDefault="001A0EC9" w:rsidP="00234F6D">
      <w:r>
        <w:separator/>
      </w:r>
    </w:p>
  </w:footnote>
  <w:footnote w:type="continuationSeparator" w:id="0">
    <w:p w14:paraId="50F51721" w14:textId="77777777" w:rsidR="001A0EC9" w:rsidRDefault="001A0EC9"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E74" w14:textId="77777777" w:rsidR="006D53CB" w:rsidRDefault="006D53CB">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6D53CB" w14:paraId="1C9364EF" w14:textId="77777777" w:rsidTr="003C12DB">
      <w:tc>
        <w:tcPr>
          <w:tcW w:w="3936" w:type="dxa"/>
          <w:vAlign w:val="center"/>
        </w:tcPr>
        <w:p w14:paraId="0D48035A" w14:textId="77777777" w:rsidR="006D53CB" w:rsidRPr="003C12DB" w:rsidRDefault="006D53CB" w:rsidP="00475FDA">
          <w:pPr>
            <w:pStyle w:val="Heading5"/>
            <w:rPr>
              <w:rFonts w:cs="Arial"/>
              <w:sz w:val="16"/>
              <w:szCs w:val="16"/>
            </w:rPr>
          </w:pPr>
        </w:p>
        <w:p w14:paraId="2E1316A7" w14:textId="77777777" w:rsidR="006D53CB" w:rsidRPr="003C12DB" w:rsidRDefault="006D53CB" w:rsidP="00475FDA">
          <w:pPr>
            <w:pStyle w:val="Heading5"/>
            <w:rPr>
              <w:rFonts w:cs="Arial"/>
              <w:sz w:val="16"/>
              <w:szCs w:val="16"/>
            </w:rPr>
          </w:pPr>
        </w:p>
        <w:p w14:paraId="3DED9D13" w14:textId="77777777" w:rsidR="006D53CB" w:rsidRPr="003C12DB" w:rsidRDefault="006D53CB"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6D53CB" w:rsidRPr="003C12DB" w:rsidRDefault="006D53CB"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6D53CB" w:rsidRPr="003C12DB" w:rsidRDefault="006D53CB" w:rsidP="00475FDA">
          <w:pPr>
            <w:tabs>
              <w:tab w:val="center" w:pos="4692"/>
            </w:tabs>
            <w:suppressAutoHyphens/>
            <w:rPr>
              <w:rFonts w:ascii="Arial" w:hAnsi="Arial" w:cs="Arial"/>
              <w:b/>
              <w:sz w:val="16"/>
              <w:szCs w:val="16"/>
            </w:rPr>
          </w:pPr>
        </w:p>
        <w:p w14:paraId="74633273" w14:textId="42602CB8" w:rsidR="006D53CB" w:rsidRPr="003C12DB" w:rsidRDefault="006D53CB"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6D53CB" w:rsidRDefault="006D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4277" w14:textId="0E5C8AC9" w:rsidR="006D53CB" w:rsidRPr="00234F6D" w:rsidRDefault="006D53CB"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8E0" w14:textId="77777777" w:rsidR="006D53CB" w:rsidRPr="00234F6D" w:rsidRDefault="006D53CB"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D2E72"/>
    <w:multiLevelType w:val="hybridMultilevel"/>
    <w:tmpl w:val="2A3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2224D"/>
    <w:multiLevelType w:val="hybridMultilevel"/>
    <w:tmpl w:val="566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120"/>
    <w:multiLevelType w:val="hybridMultilevel"/>
    <w:tmpl w:val="4012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2"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3" w15:restartNumberingAfterBreak="0">
    <w:nsid w:val="2B0111EC"/>
    <w:multiLevelType w:val="hybridMultilevel"/>
    <w:tmpl w:val="B9E0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808D9"/>
    <w:multiLevelType w:val="hybridMultilevel"/>
    <w:tmpl w:val="19A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57BED"/>
    <w:multiLevelType w:val="hybridMultilevel"/>
    <w:tmpl w:val="F3A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361ED"/>
    <w:multiLevelType w:val="hybridMultilevel"/>
    <w:tmpl w:val="08B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2063"/>
    <w:multiLevelType w:val="hybridMultilevel"/>
    <w:tmpl w:val="1EAC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72D96"/>
    <w:multiLevelType w:val="hybridMultilevel"/>
    <w:tmpl w:val="12C8073C"/>
    <w:lvl w:ilvl="0" w:tplc="E4B230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848AC"/>
    <w:multiLevelType w:val="hybridMultilevel"/>
    <w:tmpl w:val="AEBA9872"/>
    <w:lvl w:ilvl="0" w:tplc="24D680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2" w15:restartNumberingAfterBreak="0">
    <w:nsid w:val="471D6988"/>
    <w:multiLevelType w:val="hybridMultilevel"/>
    <w:tmpl w:val="C5C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F4299"/>
    <w:multiLevelType w:val="hybridMultilevel"/>
    <w:tmpl w:val="C990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28"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D2B2C"/>
    <w:multiLevelType w:val="hybridMultilevel"/>
    <w:tmpl w:val="6AD03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635CD"/>
    <w:multiLevelType w:val="hybridMultilevel"/>
    <w:tmpl w:val="7D12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24936"/>
    <w:multiLevelType w:val="hybridMultilevel"/>
    <w:tmpl w:val="A0C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C4336"/>
    <w:multiLevelType w:val="hybridMultilevel"/>
    <w:tmpl w:val="87E0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177365">
    <w:abstractNumId w:val="4"/>
  </w:num>
  <w:num w:numId="2" w16cid:durableId="1635285409">
    <w:abstractNumId w:val="0"/>
  </w:num>
  <w:num w:numId="3" w16cid:durableId="572543974">
    <w:abstractNumId w:val="3"/>
  </w:num>
  <w:num w:numId="4" w16cid:durableId="1510412503">
    <w:abstractNumId w:val="28"/>
  </w:num>
  <w:num w:numId="5" w16cid:durableId="2067794611">
    <w:abstractNumId w:val="21"/>
  </w:num>
  <w:num w:numId="6" w16cid:durableId="779766408">
    <w:abstractNumId w:val="11"/>
  </w:num>
  <w:num w:numId="7" w16cid:durableId="664087375">
    <w:abstractNumId w:val="6"/>
  </w:num>
  <w:num w:numId="8" w16cid:durableId="2015259013">
    <w:abstractNumId w:val="29"/>
  </w:num>
  <w:num w:numId="9" w16cid:durableId="1293245970">
    <w:abstractNumId w:val="26"/>
  </w:num>
  <w:num w:numId="10" w16cid:durableId="416561393">
    <w:abstractNumId w:val="10"/>
  </w:num>
  <w:num w:numId="11" w16cid:durableId="1730033375">
    <w:abstractNumId w:val="24"/>
  </w:num>
  <w:num w:numId="12" w16cid:durableId="226456082">
    <w:abstractNumId w:val="1"/>
  </w:num>
  <w:num w:numId="13" w16cid:durableId="668679983">
    <w:abstractNumId w:val="12"/>
  </w:num>
  <w:num w:numId="14" w16cid:durableId="132328906">
    <w:abstractNumId w:val="2"/>
  </w:num>
  <w:num w:numId="15" w16cid:durableId="10839606">
    <w:abstractNumId w:val="23"/>
  </w:num>
  <w:num w:numId="16" w16cid:durableId="1019697050">
    <w:abstractNumId w:val="20"/>
  </w:num>
  <w:num w:numId="17" w16cid:durableId="569996091">
    <w:abstractNumId w:val="5"/>
  </w:num>
  <w:num w:numId="18" w16cid:durableId="616522967">
    <w:abstractNumId w:val="27"/>
  </w:num>
  <w:num w:numId="19" w16cid:durableId="784157451">
    <w:abstractNumId w:val="13"/>
  </w:num>
  <w:num w:numId="20" w16cid:durableId="1348289793">
    <w:abstractNumId w:val="16"/>
  </w:num>
  <w:num w:numId="21" w16cid:durableId="31349511">
    <w:abstractNumId w:val="8"/>
  </w:num>
  <w:num w:numId="22" w16cid:durableId="191499669">
    <w:abstractNumId w:val="32"/>
  </w:num>
  <w:num w:numId="23" w16cid:durableId="1314064030">
    <w:abstractNumId w:val="22"/>
  </w:num>
  <w:num w:numId="24" w16cid:durableId="1479616895">
    <w:abstractNumId w:val="33"/>
  </w:num>
  <w:num w:numId="25" w16cid:durableId="2147043430">
    <w:abstractNumId w:val="25"/>
  </w:num>
  <w:num w:numId="26" w16cid:durableId="804585819">
    <w:abstractNumId w:val="19"/>
  </w:num>
  <w:num w:numId="27" w16cid:durableId="1552960946">
    <w:abstractNumId w:val="18"/>
  </w:num>
  <w:num w:numId="28" w16cid:durableId="1693410282">
    <w:abstractNumId w:val="30"/>
  </w:num>
  <w:num w:numId="29" w16cid:durableId="1975602553">
    <w:abstractNumId w:val="17"/>
  </w:num>
  <w:num w:numId="30" w16cid:durableId="741099454">
    <w:abstractNumId w:val="31"/>
  </w:num>
  <w:num w:numId="31" w16cid:durableId="1037464499">
    <w:abstractNumId w:val="9"/>
  </w:num>
  <w:num w:numId="32" w16cid:durableId="1849515721">
    <w:abstractNumId w:val="7"/>
  </w:num>
  <w:num w:numId="33" w16cid:durableId="1334258827">
    <w:abstractNumId w:val="15"/>
  </w:num>
  <w:num w:numId="34" w16cid:durableId="51512247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6D"/>
    <w:rsid w:val="00005B06"/>
    <w:rsid w:val="000077BB"/>
    <w:rsid w:val="00010CFE"/>
    <w:rsid w:val="00010F17"/>
    <w:rsid w:val="0002148A"/>
    <w:rsid w:val="000270EF"/>
    <w:rsid w:val="0003364E"/>
    <w:rsid w:val="00034A7D"/>
    <w:rsid w:val="000423AE"/>
    <w:rsid w:val="0004584B"/>
    <w:rsid w:val="0006015E"/>
    <w:rsid w:val="00066845"/>
    <w:rsid w:val="00066B02"/>
    <w:rsid w:val="00067B4C"/>
    <w:rsid w:val="00076F16"/>
    <w:rsid w:val="00077C32"/>
    <w:rsid w:val="00086677"/>
    <w:rsid w:val="00090DDB"/>
    <w:rsid w:val="00093582"/>
    <w:rsid w:val="000A1827"/>
    <w:rsid w:val="000A183F"/>
    <w:rsid w:val="000A4DA5"/>
    <w:rsid w:val="000B2C52"/>
    <w:rsid w:val="000B50D4"/>
    <w:rsid w:val="000B6EAA"/>
    <w:rsid w:val="000B7F19"/>
    <w:rsid w:val="000C1DFD"/>
    <w:rsid w:val="000C5F14"/>
    <w:rsid w:val="000C7CA4"/>
    <w:rsid w:val="000C7CF4"/>
    <w:rsid w:val="000D0ED5"/>
    <w:rsid w:val="000D11AF"/>
    <w:rsid w:val="000D3D7C"/>
    <w:rsid w:val="000E5BC3"/>
    <w:rsid w:val="000E7B9F"/>
    <w:rsid w:val="000F23F9"/>
    <w:rsid w:val="000F25C6"/>
    <w:rsid w:val="000F4893"/>
    <w:rsid w:val="00101C69"/>
    <w:rsid w:val="00105393"/>
    <w:rsid w:val="00105CD7"/>
    <w:rsid w:val="00110F73"/>
    <w:rsid w:val="0011662F"/>
    <w:rsid w:val="0012129D"/>
    <w:rsid w:val="00125CCC"/>
    <w:rsid w:val="00127DA4"/>
    <w:rsid w:val="001406ED"/>
    <w:rsid w:val="00143E43"/>
    <w:rsid w:val="001444A7"/>
    <w:rsid w:val="00147331"/>
    <w:rsid w:val="00152B54"/>
    <w:rsid w:val="001560EF"/>
    <w:rsid w:val="001601B4"/>
    <w:rsid w:val="00166E59"/>
    <w:rsid w:val="001722A1"/>
    <w:rsid w:val="00172503"/>
    <w:rsid w:val="0017644F"/>
    <w:rsid w:val="001805FD"/>
    <w:rsid w:val="00183BF5"/>
    <w:rsid w:val="001860AB"/>
    <w:rsid w:val="00187A68"/>
    <w:rsid w:val="00191996"/>
    <w:rsid w:val="00192BA1"/>
    <w:rsid w:val="001A0EC9"/>
    <w:rsid w:val="001A1975"/>
    <w:rsid w:val="001B16DC"/>
    <w:rsid w:val="001B199A"/>
    <w:rsid w:val="001B19EB"/>
    <w:rsid w:val="001B41C4"/>
    <w:rsid w:val="001B5720"/>
    <w:rsid w:val="001B68B8"/>
    <w:rsid w:val="001C016E"/>
    <w:rsid w:val="001C2631"/>
    <w:rsid w:val="001C6A69"/>
    <w:rsid w:val="001D1F95"/>
    <w:rsid w:val="001D7C6D"/>
    <w:rsid w:val="001E070F"/>
    <w:rsid w:val="001E08D0"/>
    <w:rsid w:val="001F4D04"/>
    <w:rsid w:val="001F5043"/>
    <w:rsid w:val="001F7E63"/>
    <w:rsid w:val="002026F1"/>
    <w:rsid w:val="002126E2"/>
    <w:rsid w:val="002146B3"/>
    <w:rsid w:val="0021583E"/>
    <w:rsid w:val="0023032F"/>
    <w:rsid w:val="00234F6D"/>
    <w:rsid w:val="00236B04"/>
    <w:rsid w:val="00236E57"/>
    <w:rsid w:val="0024386F"/>
    <w:rsid w:val="00247175"/>
    <w:rsid w:val="002513EC"/>
    <w:rsid w:val="002514C9"/>
    <w:rsid w:val="002553E5"/>
    <w:rsid w:val="002554AB"/>
    <w:rsid w:val="00256261"/>
    <w:rsid w:val="002676B7"/>
    <w:rsid w:val="00282502"/>
    <w:rsid w:val="00292FE0"/>
    <w:rsid w:val="002974F2"/>
    <w:rsid w:val="002A12F8"/>
    <w:rsid w:val="002B369C"/>
    <w:rsid w:val="002B3ADB"/>
    <w:rsid w:val="002B64FB"/>
    <w:rsid w:val="002C4902"/>
    <w:rsid w:val="002C498E"/>
    <w:rsid w:val="002C695A"/>
    <w:rsid w:val="002D0BA5"/>
    <w:rsid w:val="002D0E0C"/>
    <w:rsid w:val="002D1722"/>
    <w:rsid w:val="002D1E31"/>
    <w:rsid w:val="002D1F77"/>
    <w:rsid w:val="002D2D7D"/>
    <w:rsid w:val="002D5136"/>
    <w:rsid w:val="002D6E01"/>
    <w:rsid w:val="002D6FB1"/>
    <w:rsid w:val="002E0491"/>
    <w:rsid w:val="002E2321"/>
    <w:rsid w:val="002E5A6A"/>
    <w:rsid w:val="002F071C"/>
    <w:rsid w:val="002F1730"/>
    <w:rsid w:val="002F7B3C"/>
    <w:rsid w:val="00302547"/>
    <w:rsid w:val="00326F98"/>
    <w:rsid w:val="003304E7"/>
    <w:rsid w:val="00340D35"/>
    <w:rsid w:val="00340F67"/>
    <w:rsid w:val="00341065"/>
    <w:rsid w:val="003424AD"/>
    <w:rsid w:val="0034606B"/>
    <w:rsid w:val="00346355"/>
    <w:rsid w:val="00350036"/>
    <w:rsid w:val="003506F6"/>
    <w:rsid w:val="003526E3"/>
    <w:rsid w:val="003530C5"/>
    <w:rsid w:val="00355ED9"/>
    <w:rsid w:val="00373AEE"/>
    <w:rsid w:val="003768F0"/>
    <w:rsid w:val="00376ACA"/>
    <w:rsid w:val="003802A1"/>
    <w:rsid w:val="00382BDE"/>
    <w:rsid w:val="00383BD2"/>
    <w:rsid w:val="003925DD"/>
    <w:rsid w:val="00393305"/>
    <w:rsid w:val="00394920"/>
    <w:rsid w:val="003968A2"/>
    <w:rsid w:val="003A1098"/>
    <w:rsid w:val="003A37EA"/>
    <w:rsid w:val="003A59A8"/>
    <w:rsid w:val="003B2C34"/>
    <w:rsid w:val="003B38C0"/>
    <w:rsid w:val="003B45EC"/>
    <w:rsid w:val="003B4870"/>
    <w:rsid w:val="003B5CA0"/>
    <w:rsid w:val="003C12DB"/>
    <w:rsid w:val="003D3924"/>
    <w:rsid w:val="003D5299"/>
    <w:rsid w:val="003E55B7"/>
    <w:rsid w:val="003E5CA2"/>
    <w:rsid w:val="003E705A"/>
    <w:rsid w:val="003F3B19"/>
    <w:rsid w:val="003F65B6"/>
    <w:rsid w:val="003F7315"/>
    <w:rsid w:val="00401DE9"/>
    <w:rsid w:val="00403A6A"/>
    <w:rsid w:val="00403F17"/>
    <w:rsid w:val="004056C9"/>
    <w:rsid w:val="00412127"/>
    <w:rsid w:val="004140B8"/>
    <w:rsid w:val="004153D2"/>
    <w:rsid w:val="004274DC"/>
    <w:rsid w:val="00441AFA"/>
    <w:rsid w:val="00443086"/>
    <w:rsid w:val="0044459B"/>
    <w:rsid w:val="0044745A"/>
    <w:rsid w:val="004551EA"/>
    <w:rsid w:val="0045784E"/>
    <w:rsid w:val="00462D04"/>
    <w:rsid w:val="00462E65"/>
    <w:rsid w:val="0046376B"/>
    <w:rsid w:val="004642AC"/>
    <w:rsid w:val="00472921"/>
    <w:rsid w:val="004729CA"/>
    <w:rsid w:val="00475628"/>
    <w:rsid w:val="00475FDA"/>
    <w:rsid w:val="004767A3"/>
    <w:rsid w:val="00480F33"/>
    <w:rsid w:val="004859A3"/>
    <w:rsid w:val="00485F3F"/>
    <w:rsid w:val="00491C8A"/>
    <w:rsid w:val="00492A14"/>
    <w:rsid w:val="0049603B"/>
    <w:rsid w:val="00497967"/>
    <w:rsid w:val="004A1C15"/>
    <w:rsid w:val="004B3BCA"/>
    <w:rsid w:val="004C1909"/>
    <w:rsid w:val="004C3786"/>
    <w:rsid w:val="004C6B8A"/>
    <w:rsid w:val="004C77F4"/>
    <w:rsid w:val="004C7FC7"/>
    <w:rsid w:val="004D083E"/>
    <w:rsid w:val="004D0DEC"/>
    <w:rsid w:val="004D5F9C"/>
    <w:rsid w:val="004D676C"/>
    <w:rsid w:val="004F0D9E"/>
    <w:rsid w:val="00506DC5"/>
    <w:rsid w:val="0051411E"/>
    <w:rsid w:val="005279F6"/>
    <w:rsid w:val="0053022C"/>
    <w:rsid w:val="00533D52"/>
    <w:rsid w:val="00534D79"/>
    <w:rsid w:val="00543014"/>
    <w:rsid w:val="00550DDD"/>
    <w:rsid w:val="005515E9"/>
    <w:rsid w:val="00551EBC"/>
    <w:rsid w:val="00552890"/>
    <w:rsid w:val="00552E09"/>
    <w:rsid w:val="005567CC"/>
    <w:rsid w:val="005607DD"/>
    <w:rsid w:val="00560EA9"/>
    <w:rsid w:val="00561B83"/>
    <w:rsid w:val="00562DA2"/>
    <w:rsid w:val="00566220"/>
    <w:rsid w:val="00573120"/>
    <w:rsid w:val="00576BEF"/>
    <w:rsid w:val="00580154"/>
    <w:rsid w:val="005830C0"/>
    <w:rsid w:val="005A51CF"/>
    <w:rsid w:val="005A6EAB"/>
    <w:rsid w:val="005A725E"/>
    <w:rsid w:val="005B62BC"/>
    <w:rsid w:val="005B6AAD"/>
    <w:rsid w:val="005C625C"/>
    <w:rsid w:val="005C6633"/>
    <w:rsid w:val="005D12F5"/>
    <w:rsid w:val="005E770C"/>
    <w:rsid w:val="005F035B"/>
    <w:rsid w:val="005F18B5"/>
    <w:rsid w:val="005F7C56"/>
    <w:rsid w:val="0060564A"/>
    <w:rsid w:val="006067CD"/>
    <w:rsid w:val="00612F23"/>
    <w:rsid w:val="006335D1"/>
    <w:rsid w:val="00633E19"/>
    <w:rsid w:val="00634A33"/>
    <w:rsid w:val="00636129"/>
    <w:rsid w:val="006361A0"/>
    <w:rsid w:val="006452D8"/>
    <w:rsid w:val="00647876"/>
    <w:rsid w:val="0065313C"/>
    <w:rsid w:val="00667194"/>
    <w:rsid w:val="00667438"/>
    <w:rsid w:val="00670EDD"/>
    <w:rsid w:val="00680801"/>
    <w:rsid w:val="00681DBE"/>
    <w:rsid w:val="006855B5"/>
    <w:rsid w:val="00691C15"/>
    <w:rsid w:val="00694FCB"/>
    <w:rsid w:val="006B00DD"/>
    <w:rsid w:val="006B2C85"/>
    <w:rsid w:val="006B3926"/>
    <w:rsid w:val="006B56CA"/>
    <w:rsid w:val="006B6502"/>
    <w:rsid w:val="006D1EF2"/>
    <w:rsid w:val="006D21AC"/>
    <w:rsid w:val="006D458F"/>
    <w:rsid w:val="006D53CB"/>
    <w:rsid w:val="006D77EB"/>
    <w:rsid w:val="006E37FA"/>
    <w:rsid w:val="006E71E7"/>
    <w:rsid w:val="006F15A5"/>
    <w:rsid w:val="006F198E"/>
    <w:rsid w:val="006F4163"/>
    <w:rsid w:val="00701093"/>
    <w:rsid w:val="007051DA"/>
    <w:rsid w:val="0070733A"/>
    <w:rsid w:val="00711B42"/>
    <w:rsid w:val="0071257C"/>
    <w:rsid w:val="00715CBB"/>
    <w:rsid w:val="0071773D"/>
    <w:rsid w:val="00717CD2"/>
    <w:rsid w:val="00721C65"/>
    <w:rsid w:val="00722CB0"/>
    <w:rsid w:val="0072465D"/>
    <w:rsid w:val="00730202"/>
    <w:rsid w:val="007336A3"/>
    <w:rsid w:val="007347BA"/>
    <w:rsid w:val="00734DEC"/>
    <w:rsid w:val="00737A44"/>
    <w:rsid w:val="00740144"/>
    <w:rsid w:val="0074226F"/>
    <w:rsid w:val="00747566"/>
    <w:rsid w:val="0075069A"/>
    <w:rsid w:val="007536FC"/>
    <w:rsid w:val="00756F2F"/>
    <w:rsid w:val="00760ED8"/>
    <w:rsid w:val="00767BF3"/>
    <w:rsid w:val="00782962"/>
    <w:rsid w:val="00784D31"/>
    <w:rsid w:val="00786624"/>
    <w:rsid w:val="00791F26"/>
    <w:rsid w:val="00796D2D"/>
    <w:rsid w:val="00797B69"/>
    <w:rsid w:val="007A68D6"/>
    <w:rsid w:val="007B196E"/>
    <w:rsid w:val="007B773C"/>
    <w:rsid w:val="007B7792"/>
    <w:rsid w:val="007C3341"/>
    <w:rsid w:val="007C3FC6"/>
    <w:rsid w:val="007D1B66"/>
    <w:rsid w:val="007D589D"/>
    <w:rsid w:val="007E1BC6"/>
    <w:rsid w:val="007E299E"/>
    <w:rsid w:val="007E59CA"/>
    <w:rsid w:val="007E6723"/>
    <w:rsid w:val="007F07BD"/>
    <w:rsid w:val="007F6F4E"/>
    <w:rsid w:val="007F7C65"/>
    <w:rsid w:val="007F7E3C"/>
    <w:rsid w:val="00806F99"/>
    <w:rsid w:val="00811F2F"/>
    <w:rsid w:val="008145FF"/>
    <w:rsid w:val="00817347"/>
    <w:rsid w:val="00821326"/>
    <w:rsid w:val="00822F4B"/>
    <w:rsid w:val="00823222"/>
    <w:rsid w:val="00825D97"/>
    <w:rsid w:val="00826F5E"/>
    <w:rsid w:val="008403AE"/>
    <w:rsid w:val="00840A29"/>
    <w:rsid w:val="00845123"/>
    <w:rsid w:val="00845202"/>
    <w:rsid w:val="00847BA0"/>
    <w:rsid w:val="008539F1"/>
    <w:rsid w:val="008579DC"/>
    <w:rsid w:val="00857B7D"/>
    <w:rsid w:val="00864F75"/>
    <w:rsid w:val="008755A8"/>
    <w:rsid w:val="00896D07"/>
    <w:rsid w:val="008A0030"/>
    <w:rsid w:val="008A3141"/>
    <w:rsid w:val="008A552B"/>
    <w:rsid w:val="008B2B3B"/>
    <w:rsid w:val="008B54F6"/>
    <w:rsid w:val="008B72BF"/>
    <w:rsid w:val="008C359C"/>
    <w:rsid w:val="008D0806"/>
    <w:rsid w:val="008D21B1"/>
    <w:rsid w:val="008D3BA7"/>
    <w:rsid w:val="008D531C"/>
    <w:rsid w:val="008D6614"/>
    <w:rsid w:val="008E3512"/>
    <w:rsid w:val="008F0C9F"/>
    <w:rsid w:val="008F44D5"/>
    <w:rsid w:val="008F7008"/>
    <w:rsid w:val="008F7975"/>
    <w:rsid w:val="008F79D2"/>
    <w:rsid w:val="008F7B4D"/>
    <w:rsid w:val="00901ED0"/>
    <w:rsid w:val="00921152"/>
    <w:rsid w:val="009211D6"/>
    <w:rsid w:val="0092573B"/>
    <w:rsid w:val="009301C8"/>
    <w:rsid w:val="00930974"/>
    <w:rsid w:val="009363DE"/>
    <w:rsid w:val="0093643E"/>
    <w:rsid w:val="00950638"/>
    <w:rsid w:val="00950F3F"/>
    <w:rsid w:val="00951A86"/>
    <w:rsid w:val="00952AFC"/>
    <w:rsid w:val="009553AE"/>
    <w:rsid w:val="00956866"/>
    <w:rsid w:val="00963C7A"/>
    <w:rsid w:val="009655F2"/>
    <w:rsid w:val="00966380"/>
    <w:rsid w:val="009679DF"/>
    <w:rsid w:val="00970C8D"/>
    <w:rsid w:val="00970CAF"/>
    <w:rsid w:val="00973EB9"/>
    <w:rsid w:val="00974C7F"/>
    <w:rsid w:val="0097517A"/>
    <w:rsid w:val="00983566"/>
    <w:rsid w:val="00987A19"/>
    <w:rsid w:val="0099180D"/>
    <w:rsid w:val="00997241"/>
    <w:rsid w:val="009A7744"/>
    <w:rsid w:val="009B2FD1"/>
    <w:rsid w:val="009B42E1"/>
    <w:rsid w:val="009B6A81"/>
    <w:rsid w:val="009C432C"/>
    <w:rsid w:val="009D00D5"/>
    <w:rsid w:val="009D2E0A"/>
    <w:rsid w:val="009D7F01"/>
    <w:rsid w:val="009E0528"/>
    <w:rsid w:val="009F1495"/>
    <w:rsid w:val="009F3B4E"/>
    <w:rsid w:val="009F4727"/>
    <w:rsid w:val="009F6885"/>
    <w:rsid w:val="009F7E69"/>
    <w:rsid w:val="00A02970"/>
    <w:rsid w:val="00A02FC2"/>
    <w:rsid w:val="00A05F3E"/>
    <w:rsid w:val="00A11EDD"/>
    <w:rsid w:val="00A12121"/>
    <w:rsid w:val="00A13F7C"/>
    <w:rsid w:val="00A22F63"/>
    <w:rsid w:val="00A2646F"/>
    <w:rsid w:val="00A27E45"/>
    <w:rsid w:val="00A27EF0"/>
    <w:rsid w:val="00A30884"/>
    <w:rsid w:val="00A31748"/>
    <w:rsid w:val="00A32289"/>
    <w:rsid w:val="00A32440"/>
    <w:rsid w:val="00A348E4"/>
    <w:rsid w:val="00A40045"/>
    <w:rsid w:val="00A45AEC"/>
    <w:rsid w:val="00A46FF9"/>
    <w:rsid w:val="00A623F1"/>
    <w:rsid w:val="00A67859"/>
    <w:rsid w:val="00A7196C"/>
    <w:rsid w:val="00A837E2"/>
    <w:rsid w:val="00A86F4D"/>
    <w:rsid w:val="00A966D1"/>
    <w:rsid w:val="00A96A46"/>
    <w:rsid w:val="00A97A95"/>
    <w:rsid w:val="00AA2AA0"/>
    <w:rsid w:val="00AB26C4"/>
    <w:rsid w:val="00AC1B61"/>
    <w:rsid w:val="00AC2AE9"/>
    <w:rsid w:val="00AC3979"/>
    <w:rsid w:val="00AC6613"/>
    <w:rsid w:val="00AD0CDB"/>
    <w:rsid w:val="00AD2C1D"/>
    <w:rsid w:val="00AE0D8A"/>
    <w:rsid w:val="00AF1D40"/>
    <w:rsid w:val="00AF5D66"/>
    <w:rsid w:val="00AF7D3A"/>
    <w:rsid w:val="00B014E1"/>
    <w:rsid w:val="00B01D9E"/>
    <w:rsid w:val="00B1300D"/>
    <w:rsid w:val="00B15108"/>
    <w:rsid w:val="00B15CE5"/>
    <w:rsid w:val="00B17F61"/>
    <w:rsid w:val="00B2026D"/>
    <w:rsid w:val="00B24C54"/>
    <w:rsid w:val="00B32840"/>
    <w:rsid w:val="00B41957"/>
    <w:rsid w:val="00B477ED"/>
    <w:rsid w:val="00B50C8F"/>
    <w:rsid w:val="00B51FD0"/>
    <w:rsid w:val="00B52DB1"/>
    <w:rsid w:val="00B53CEB"/>
    <w:rsid w:val="00B54F52"/>
    <w:rsid w:val="00B64FFF"/>
    <w:rsid w:val="00B65A63"/>
    <w:rsid w:val="00B673F2"/>
    <w:rsid w:val="00B678E1"/>
    <w:rsid w:val="00B678FD"/>
    <w:rsid w:val="00B701C3"/>
    <w:rsid w:val="00B709EF"/>
    <w:rsid w:val="00B72F1D"/>
    <w:rsid w:val="00B75230"/>
    <w:rsid w:val="00B840AF"/>
    <w:rsid w:val="00B90470"/>
    <w:rsid w:val="00B91E1F"/>
    <w:rsid w:val="00BA215B"/>
    <w:rsid w:val="00BA30DF"/>
    <w:rsid w:val="00BA339D"/>
    <w:rsid w:val="00BA53C2"/>
    <w:rsid w:val="00BB1844"/>
    <w:rsid w:val="00BB4C5C"/>
    <w:rsid w:val="00BC3D9A"/>
    <w:rsid w:val="00BD4DE1"/>
    <w:rsid w:val="00BD5671"/>
    <w:rsid w:val="00BE008E"/>
    <w:rsid w:val="00BE02FD"/>
    <w:rsid w:val="00BE102F"/>
    <w:rsid w:val="00BE1ABE"/>
    <w:rsid w:val="00BE785F"/>
    <w:rsid w:val="00C02C0B"/>
    <w:rsid w:val="00C03A1C"/>
    <w:rsid w:val="00C04E20"/>
    <w:rsid w:val="00C05034"/>
    <w:rsid w:val="00C06AEC"/>
    <w:rsid w:val="00C10B7A"/>
    <w:rsid w:val="00C1132A"/>
    <w:rsid w:val="00C150CA"/>
    <w:rsid w:val="00C23418"/>
    <w:rsid w:val="00C23595"/>
    <w:rsid w:val="00C23AE0"/>
    <w:rsid w:val="00C339BB"/>
    <w:rsid w:val="00C35C0C"/>
    <w:rsid w:val="00C438AD"/>
    <w:rsid w:val="00C505FF"/>
    <w:rsid w:val="00C52FEC"/>
    <w:rsid w:val="00C539A0"/>
    <w:rsid w:val="00C555C6"/>
    <w:rsid w:val="00C56D9D"/>
    <w:rsid w:val="00C5704F"/>
    <w:rsid w:val="00C57205"/>
    <w:rsid w:val="00C61B86"/>
    <w:rsid w:val="00C63153"/>
    <w:rsid w:val="00C702A6"/>
    <w:rsid w:val="00C762B0"/>
    <w:rsid w:val="00C779BB"/>
    <w:rsid w:val="00C81461"/>
    <w:rsid w:val="00C83FDB"/>
    <w:rsid w:val="00C84257"/>
    <w:rsid w:val="00C84E03"/>
    <w:rsid w:val="00C871DE"/>
    <w:rsid w:val="00C9216D"/>
    <w:rsid w:val="00C92B96"/>
    <w:rsid w:val="00C93C01"/>
    <w:rsid w:val="00C94DBD"/>
    <w:rsid w:val="00C975D7"/>
    <w:rsid w:val="00CA070E"/>
    <w:rsid w:val="00CA0C73"/>
    <w:rsid w:val="00CA3FC9"/>
    <w:rsid w:val="00CA7C26"/>
    <w:rsid w:val="00CB2B1E"/>
    <w:rsid w:val="00CC324B"/>
    <w:rsid w:val="00CD0E57"/>
    <w:rsid w:val="00CE01E8"/>
    <w:rsid w:val="00CE060B"/>
    <w:rsid w:val="00CE1837"/>
    <w:rsid w:val="00CE758E"/>
    <w:rsid w:val="00CF6331"/>
    <w:rsid w:val="00D027C8"/>
    <w:rsid w:val="00D05884"/>
    <w:rsid w:val="00D07E83"/>
    <w:rsid w:val="00D10D33"/>
    <w:rsid w:val="00D4571C"/>
    <w:rsid w:val="00D5595B"/>
    <w:rsid w:val="00D56745"/>
    <w:rsid w:val="00D625C3"/>
    <w:rsid w:val="00D65F50"/>
    <w:rsid w:val="00D706FE"/>
    <w:rsid w:val="00D82D0A"/>
    <w:rsid w:val="00D92E4F"/>
    <w:rsid w:val="00D94355"/>
    <w:rsid w:val="00D96744"/>
    <w:rsid w:val="00DA3233"/>
    <w:rsid w:val="00DA6A8F"/>
    <w:rsid w:val="00DB7C49"/>
    <w:rsid w:val="00DC2140"/>
    <w:rsid w:val="00DC44FF"/>
    <w:rsid w:val="00DD31D1"/>
    <w:rsid w:val="00DD5445"/>
    <w:rsid w:val="00DE106F"/>
    <w:rsid w:val="00DE229C"/>
    <w:rsid w:val="00DE6852"/>
    <w:rsid w:val="00E04213"/>
    <w:rsid w:val="00E056AE"/>
    <w:rsid w:val="00E11DD6"/>
    <w:rsid w:val="00E135A5"/>
    <w:rsid w:val="00E1725C"/>
    <w:rsid w:val="00E22B83"/>
    <w:rsid w:val="00E2763A"/>
    <w:rsid w:val="00E27E20"/>
    <w:rsid w:val="00E343A8"/>
    <w:rsid w:val="00E365A2"/>
    <w:rsid w:val="00E4026C"/>
    <w:rsid w:val="00E51ACD"/>
    <w:rsid w:val="00E54B0A"/>
    <w:rsid w:val="00E60311"/>
    <w:rsid w:val="00E61C62"/>
    <w:rsid w:val="00E66B72"/>
    <w:rsid w:val="00E85EDF"/>
    <w:rsid w:val="00E94CA1"/>
    <w:rsid w:val="00EA3783"/>
    <w:rsid w:val="00EA7E65"/>
    <w:rsid w:val="00EB3796"/>
    <w:rsid w:val="00ED36F0"/>
    <w:rsid w:val="00ED7398"/>
    <w:rsid w:val="00ED7841"/>
    <w:rsid w:val="00EE4E0B"/>
    <w:rsid w:val="00EF5F6E"/>
    <w:rsid w:val="00EF7D53"/>
    <w:rsid w:val="00F01A05"/>
    <w:rsid w:val="00F10E7F"/>
    <w:rsid w:val="00F1441F"/>
    <w:rsid w:val="00F14F66"/>
    <w:rsid w:val="00F2333D"/>
    <w:rsid w:val="00F24288"/>
    <w:rsid w:val="00F27C43"/>
    <w:rsid w:val="00F330BB"/>
    <w:rsid w:val="00F3398D"/>
    <w:rsid w:val="00F446CA"/>
    <w:rsid w:val="00F46725"/>
    <w:rsid w:val="00F50DAA"/>
    <w:rsid w:val="00F54933"/>
    <w:rsid w:val="00F61915"/>
    <w:rsid w:val="00F65B22"/>
    <w:rsid w:val="00F74E17"/>
    <w:rsid w:val="00F75BE4"/>
    <w:rsid w:val="00F83D7D"/>
    <w:rsid w:val="00F91FBF"/>
    <w:rsid w:val="00F9322F"/>
    <w:rsid w:val="00F965D0"/>
    <w:rsid w:val="00FA0A14"/>
    <w:rsid w:val="00FA6943"/>
    <w:rsid w:val="00FB320D"/>
    <w:rsid w:val="00FC57A6"/>
    <w:rsid w:val="00FC5FAF"/>
    <w:rsid w:val="00FC7D33"/>
    <w:rsid w:val="00FD1B55"/>
    <w:rsid w:val="00FD25EF"/>
    <w:rsid w:val="00FE0431"/>
    <w:rsid w:val="00FE1355"/>
    <w:rsid w:val="00FE1B9A"/>
    <w:rsid w:val="00FE2DCF"/>
    <w:rsid w:val="00FE4EE2"/>
    <w:rsid w:val="00FE67E4"/>
    <w:rsid w:val="00FE712F"/>
    <w:rsid w:val="00FF1FD0"/>
    <w:rsid w:val="00FF398C"/>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15:docId w15:val="{B1CCDB18-1C59-4AAD-82E2-3D0FE05C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590240739">
      <w:bodyDiv w:val="1"/>
      <w:marLeft w:val="0"/>
      <w:marRight w:val="0"/>
      <w:marTop w:val="0"/>
      <w:marBottom w:val="0"/>
      <w:divBdr>
        <w:top w:val="none" w:sz="0" w:space="0" w:color="auto"/>
        <w:left w:val="none" w:sz="0" w:space="0" w:color="auto"/>
        <w:bottom w:val="none" w:sz="0" w:space="0" w:color="auto"/>
        <w:right w:val="none" w:sz="0" w:space="0" w:color="auto"/>
      </w:divBdr>
    </w:div>
    <w:div w:id="598831549">
      <w:bodyDiv w:val="1"/>
      <w:marLeft w:val="0"/>
      <w:marRight w:val="0"/>
      <w:marTop w:val="0"/>
      <w:marBottom w:val="0"/>
      <w:divBdr>
        <w:top w:val="none" w:sz="0" w:space="0" w:color="auto"/>
        <w:left w:val="none" w:sz="0" w:space="0" w:color="auto"/>
        <w:bottom w:val="none" w:sz="0" w:space="0" w:color="auto"/>
        <w:right w:val="none" w:sz="0" w:space="0" w:color="auto"/>
      </w:divBdr>
    </w:div>
    <w:div w:id="723984675">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237007727">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1186241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 w:id="179786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resources/after-you-apply/amend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D4BC-6496-443A-9615-69A090F6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17512</Words>
  <Characters>99823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Rivers-Moore</dc:creator>
  <cp:lastModifiedBy>Kieran Rustage</cp:lastModifiedBy>
  <cp:revision>2</cp:revision>
  <cp:lastPrinted>2014-11-21T16:55:00Z</cp:lastPrinted>
  <dcterms:created xsi:type="dcterms:W3CDTF">2022-05-19T07:33:00Z</dcterms:created>
  <dcterms:modified xsi:type="dcterms:W3CDTF">2022-05-19T07:33:00Z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d567532e-c19c-343a-97de-178f03510c2f</vt:lpwstr>
  </property>
  <property fmtid="{D5CDD505-2E9C-101B-9397-08002B2CF9AE}" pid="24" name="Mendeley Citation Style_1">
    <vt:lpwstr>http://www.zotero.org/styles/nature</vt:lpwstr>
  </property>
</Properties>
</file>